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574D83" w14:textId="689B3228" w:rsidR="00C77FA1" w:rsidRPr="009C0B1D" w:rsidRDefault="009C0B1D" w:rsidP="009C0B1D">
      <w:pPr>
        <w:spacing w:after="0" w:line="240" w:lineRule="auto"/>
        <w:jc w:val="center"/>
        <w:rPr>
          <w:lang w:val="en-US"/>
        </w:rPr>
      </w:pPr>
      <w:r>
        <w:rPr>
          <w:lang w:val="en-US"/>
        </w:rPr>
        <w:t xml:space="preserve">Volume IV </w:t>
      </w:r>
      <w:proofErr w:type="spellStart"/>
      <w:r>
        <w:rPr>
          <w:lang w:val="en-US"/>
        </w:rPr>
        <w:t>Nomor</w:t>
      </w:r>
      <w:proofErr w:type="spellEnd"/>
      <w:r>
        <w:rPr>
          <w:lang w:val="en-US"/>
        </w:rPr>
        <w:t xml:space="preserve"> I</w:t>
      </w:r>
      <w:r w:rsidR="00C77FA1">
        <w:tab/>
      </w:r>
      <w:r w:rsidR="00C77FA1">
        <w:rPr>
          <w:color w:val="0000FF"/>
          <w:sz w:val="20"/>
          <w:vertAlign w:val="subscript"/>
        </w:rPr>
        <w:t xml:space="preserve">  </w:t>
      </w:r>
    </w:p>
    <w:p w14:paraId="1C458045" w14:textId="77777777" w:rsidR="00C77FA1" w:rsidRDefault="00C77FA1">
      <w:pPr>
        <w:spacing w:after="56" w:line="240" w:lineRule="auto"/>
      </w:pPr>
      <w:r>
        <w:rPr>
          <w:rFonts w:ascii="Calibri" w:eastAsia="Calibri" w:hAnsi="Calibri" w:cs="Calibri"/>
        </w:rPr>
        <w:t xml:space="preserve"> </w:t>
      </w:r>
      <w:r>
        <w:rPr>
          <w:rFonts w:ascii="Calibri" w:eastAsia="Calibri" w:hAnsi="Calibri" w:cs="Calibri"/>
        </w:rPr>
        <w:tab/>
      </w:r>
      <w:r>
        <w:rPr>
          <w:rFonts w:eastAsia="Times New Roman" w:cs="Times New Roman"/>
          <w:b/>
          <w:sz w:val="20"/>
        </w:rPr>
        <w:t xml:space="preserve"> </w:t>
      </w:r>
    </w:p>
    <w:p w14:paraId="31569D33" w14:textId="77777777" w:rsidR="00C77FA1" w:rsidRDefault="00C77FA1">
      <w:pPr>
        <w:spacing w:line="240" w:lineRule="auto"/>
        <w:jc w:val="center"/>
      </w:pPr>
      <w:r>
        <w:rPr>
          <w:rFonts w:eastAsia="Times New Roman" w:cs="Times New Roman"/>
          <w:b/>
          <w:sz w:val="36"/>
        </w:rPr>
        <w:t xml:space="preserve">PROCEEDING SENADA </w:t>
      </w:r>
    </w:p>
    <w:p w14:paraId="62D987F7" w14:textId="24E008D1" w:rsidR="00C77FA1" w:rsidRDefault="00C77FA1">
      <w:pPr>
        <w:spacing w:line="240" w:lineRule="auto"/>
        <w:ind w:left="10" w:right="-15" w:hanging="10"/>
        <w:jc w:val="center"/>
      </w:pPr>
      <w:r>
        <w:rPr>
          <w:rFonts w:eastAsia="Times New Roman" w:cs="Times New Roman"/>
          <w:b/>
        </w:rPr>
        <w:t xml:space="preserve">(Seminar Nasional </w:t>
      </w:r>
      <w:r>
        <w:rPr>
          <w:rFonts w:eastAsia="Times New Roman" w:cs="Times New Roman"/>
          <w:b/>
          <w:sz w:val="34"/>
          <w:vertAlign w:val="superscript"/>
        </w:rPr>
        <w:t xml:space="preserve"> </w:t>
      </w:r>
      <w:r>
        <w:rPr>
          <w:rFonts w:eastAsia="Times New Roman" w:cs="Times New Roman"/>
          <w:b/>
        </w:rPr>
        <w:t xml:space="preserve">Dunia Kesehatan) </w:t>
      </w:r>
    </w:p>
    <w:p w14:paraId="4E41F1C9" w14:textId="77777777" w:rsidR="00C77FA1" w:rsidRDefault="00C77FA1">
      <w:pPr>
        <w:spacing w:line="240" w:lineRule="auto"/>
        <w:jc w:val="center"/>
      </w:pPr>
      <w:r>
        <w:rPr>
          <w:rFonts w:eastAsia="Times New Roman" w:cs="Times New Roman"/>
          <w:b/>
        </w:rPr>
        <w:t xml:space="preserve"> </w:t>
      </w:r>
    </w:p>
    <w:p w14:paraId="52E58ACE" w14:textId="77777777" w:rsidR="00C77FA1" w:rsidRDefault="00C77FA1">
      <w:pPr>
        <w:spacing w:line="240" w:lineRule="auto"/>
        <w:jc w:val="center"/>
      </w:pPr>
      <w:r>
        <w:rPr>
          <w:rFonts w:eastAsia="Times New Roman" w:cs="Times New Roman"/>
          <w:b/>
        </w:rPr>
        <w:t xml:space="preserve"> </w:t>
      </w:r>
    </w:p>
    <w:p w14:paraId="4B0AD20F" w14:textId="74D24570" w:rsidR="00C77FA1" w:rsidRPr="006C7E3D" w:rsidRDefault="00C77FA1">
      <w:pPr>
        <w:pStyle w:val="Heading1"/>
        <w:spacing w:after="138"/>
        <w:ind w:right="663"/>
        <w:rPr>
          <w:b w:val="0"/>
          <w:bCs/>
          <w:i w:val="0"/>
          <w:iCs/>
          <w:sz w:val="24"/>
          <w:szCs w:val="24"/>
        </w:rPr>
      </w:pPr>
      <w:r w:rsidRPr="006C7E3D">
        <w:rPr>
          <w:b w:val="0"/>
          <w:bCs/>
          <w:i w:val="0"/>
          <w:iCs/>
          <w:sz w:val="24"/>
          <w:szCs w:val="24"/>
        </w:rPr>
        <w:t xml:space="preserve">Pola Penggunaan Obat </w:t>
      </w:r>
      <w:r w:rsidR="006C7E3D">
        <w:rPr>
          <w:b w:val="0"/>
          <w:bCs/>
          <w:i w:val="0"/>
          <w:iCs/>
          <w:sz w:val="24"/>
          <w:szCs w:val="24"/>
          <w:lang w:val="en-US"/>
        </w:rPr>
        <w:t>p</w:t>
      </w:r>
      <w:r w:rsidRPr="006C7E3D">
        <w:rPr>
          <w:b w:val="0"/>
          <w:bCs/>
          <w:i w:val="0"/>
          <w:iCs/>
          <w:sz w:val="24"/>
          <w:szCs w:val="24"/>
        </w:rPr>
        <w:t xml:space="preserve">ada Pasien Ispa Non Pneumonia Balita </w:t>
      </w:r>
      <w:r w:rsidR="006C7E3D">
        <w:rPr>
          <w:b w:val="0"/>
          <w:bCs/>
          <w:i w:val="0"/>
          <w:iCs/>
          <w:sz w:val="24"/>
          <w:szCs w:val="24"/>
          <w:lang w:val="en-US"/>
        </w:rPr>
        <w:t>d</w:t>
      </w:r>
      <w:r w:rsidRPr="006C7E3D">
        <w:rPr>
          <w:b w:val="0"/>
          <w:bCs/>
          <w:i w:val="0"/>
          <w:iCs/>
          <w:sz w:val="24"/>
          <w:szCs w:val="24"/>
        </w:rPr>
        <w:t xml:space="preserve">i Wilayah  Kerja Puskesmas Tlanakan </w:t>
      </w:r>
      <w:r w:rsidRPr="006C7E3D">
        <w:rPr>
          <w:b w:val="0"/>
          <w:bCs/>
          <w:i w:val="0"/>
          <w:iCs/>
          <w:sz w:val="24"/>
          <w:szCs w:val="24"/>
        </w:rPr>
        <w:tab/>
        <w:t xml:space="preserve"> </w:t>
      </w:r>
    </w:p>
    <w:p w14:paraId="433D6648" w14:textId="56FF1F0F" w:rsidR="00C77FA1" w:rsidRDefault="00C77FA1" w:rsidP="009C0B1D">
      <w:pPr>
        <w:spacing w:line="240" w:lineRule="auto"/>
        <w:ind w:left="1118"/>
      </w:pPr>
      <w:r>
        <w:rPr>
          <w:rFonts w:eastAsia="Times New Roman" w:cs="Times New Roman"/>
          <w:b/>
        </w:rPr>
        <w:t xml:space="preserve"> </w:t>
      </w:r>
      <w:r>
        <w:rPr>
          <w:rFonts w:eastAsia="Times New Roman" w:cs="Times New Roman"/>
          <w:b/>
        </w:rPr>
        <w:tab/>
        <w:t xml:space="preserve"> </w:t>
      </w:r>
      <w:r>
        <w:t xml:space="preserve"> </w:t>
      </w:r>
    </w:p>
    <w:p w14:paraId="2589A1D0" w14:textId="77777777" w:rsidR="00C77FA1" w:rsidRDefault="00C77FA1">
      <w:pPr>
        <w:spacing w:line="240" w:lineRule="auto"/>
        <w:ind w:left="5"/>
      </w:pPr>
      <w:r>
        <w:t xml:space="preserve"> </w:t>
      </w:r>
    </w:p>
    <w:p w14:paraId="2C11713F" w14:textId="41BEFD10" w:rsidR="00C77FA1" w:rsidRDefault="00C77FA1">
      <w:pPr>
        <w:spacing w:after="1" w:line="242" w:lineRule="auto"/>
        <w:ind w:left="640" w:right="-15" w:hanging="10"/>
        <w:jc w:val="center"/>
      </w:pPr>
      <w:r>
        <w:rPr>
          <w:color w:val="222222"/>
        </w:rPr>
        <w:t xml:space="preserve">Evy susanti </w:t>
      </w:r>
      <w:r>
        <w:rPr>
          <w:color w:val="222222"/>
          <w:vertAlign w:val="superscript"/>
        </w:rPr>
        <w:t>1</w:t>
      </w:r>
      <w:r>
        <w:rPr>
          <w:color w:val="222222"/>
        </w:rPr>
        <w:t xml:space="preserve"> Ach Faruk Alrosyidi </w:t>
      </w:r>
      <w:r>
        <w:rPr>
          <w:color w:val="222222"/>
          <w:vertAlign w:val="superscript"/>
        </w:rPr>
        <w:t>1</w:t>
      </w:r>
      <w:r>
        <w:rPr>
          <w:color w:val="222222"/>
        </w:rPr>
        <w:t xml:space="preserve"> Naili Uswatun Hasanah </w:t>
      </w:r>
      <w:r>
        <w:rPr>
          <w:color w:val="222222"/>
          <w:vertAlign w:val="superscript"/>
        </w:rPr>
        <w:t>1</w:t>
      </w:r>
      <w:r>
        <w:rPr>
          <w:color w:val="222222"/>
        </w:rPr>
        <w:t xml:space="preserve"> </w:t>
      </w:r>
    </w:p>
    <w:p w14:paraId="2F9B8FD1" w14:textId="77777777" w:rsidR="005405A4" w:rsidRDefault="00C77FA1" w:rsidP="005405A4">
      <w:pPr>
        <w:spacing w:after="1" w:line="242" w:lineRule="auto"/>
        <w:ind w:left="640" w:right="571" w:hanging="10"/>
        <w:jc w:val="center"/>
        <w:rPr>
          <w:color w:val="0000CC"/>
          <w:u w:val="single" w:color="0000CC"/>
        </w:rPr>
      </w:pPr>
      <w:r>
        <w:rPr>
          <w:color w:val="222222"/>
          <w:vertAlign w:val="superscript"/>
        </w:rPr>
        <w:t xml:space="preserve">1 </w:t>
      </w:r>
      <w:r>
        <w:rPr>
          <w:color w:val="222222"/>
        </w:rPr>
        <w:t xml:space="preserve">Fakultas Kesehatan /Farmasi/D3 Farmasi, Universitas Islam Madura, </w:t>
      </w:r>
    </w:p>
    <w:p w14:paraId="343238B5" w14:textId="7DE912B3" w:rsidR="00C77FA1" w:rsidRDefault="00C77FA1" w:rsidP="005405A4">
      <w:pPr>
        <w:spacing w:after="1" w:line="242" w:lineRule="auto"/>
        <w:ind w:left="640" w:right="571" w:hanging="10"/>
        <w:jc w:val="center"/>
      </w:pPr>
      <w:r>
        <w:rPr>
          <w:color w:val="222222"/>
        </w:rPr>
        <w:t xml:space="preserve">Jl. P.P Miftahul Ulum Bettet, Pamekasana Madura, jawa timur, Indonesia 69351 </w:t>
      </w:r>
    </w:p>
    <w:p w14:paraId="05B641C9" w14:textId="77777777" w:rsidR="00C77FA1" w:rsidRDefault="00C77FA1">
      <w:pPr>
        <w:spacing w:line="240" w:lineRule="auto"/>
        <w:jc w:val="center"/>
      </w:pPr>
      <w:r>
        <w:rPr>
          <w:color w:val="222222"/>
        </w:rPr>
        <w:t xml:space="preserve"> </w:t>
      </w:r>
    </w:p>
    <w:p w14:paraId="3C06812E" w14:textId="77777777" w:rsidR="00C77FA1" w:rsidRDefault="00C77FA1">
      <w:pPr>
        <w:spacing w:line="240" w:lineRule="auto"/>
        <w:jc w:val="center"/>
      </w:pPr>
      <w:r>
        <w:rPr>
          <w:color w:val="222222"/>
        </w:rPr>
        <w:t xml:space="preserve"> </w:t>
      </w:r>
    </w:p>
    <w:p w14:paraId="60968E49" w14:textId="77777777" w:rsidR="00C77FA1" w:rsidRDefault="00C77FA1">
      <w:pPr>
        <w:spacing w:after="1" w:line="242" w:lineRule="auto"/>
        <w:ind w:left="640" w:right="-15" w:hanging="10"/>
        <w:jc w:val="center"/>
      </w:pPr>
      <w:r>
        <w:rPr>
          <w:color w:val="222222"/>
        </w:rPr>
        <w:t xml:space="preserve">Penulis korespondensi: Evy Susanti </w:t>
      </w:r>
    </w:p>
    <w:p w14:paraId="0ADD78CA" w14:textId="77777777" w:rsidR="00C77FA1" w:rsidRDefault="00C77FA1">
      <w:pPr>
        <w:spacing w:line="240" w:lineRule="auto"/>
        <w:jc w:val="center"/>
      </w:pPr>
      <w:r>
        <w:rPr>
          <w:color w:val="222222"/>
        </w:rPr>
        <w:t xml:space="preserve">Email: </w:t>
      </w:r>
      <w:r>
        <w:rPr>
          <w:color w:val="0000CC"/>
          <w:u w:val="single" w:color="0000CC"/>
        </w:rPr>
        <w:t>evysusanti167@gmail.com</w:t>
      </w:r>
      <w:r>
        <w:rPr>
          <w:color w:val="222222"/>
        </w:rPr>
        <w:t xml:space="preserve"> </w:t>
      </w:r>
    </w:p>
    <w:p w14:paraId="6D6F90EE" w14:textId="77777777" w:rsidR="00C77FA1" w:rsidRDefault="00C77FA1">
      <w:pPr>
        <w:spacing w:line="240" w:lineRule="auto"/>
        <w:jc w:val="center"/>
      </w:pPr>
      <w:r>
        <w:rPr>
          <w:color w:val="222222"/>
        </w:rPr>
        <w:t xml:space="preserve"> </w:t>
      </w:r>
    </w:p>
    <w:p w14:paraId="6C17F976" w14:textId="77777777" w:rsidR="00C77FA1" w:rsidRDefault="00C77FA1">
      <w:pPr>
        <w:spacing w:after="1" w:line="240" w:lineRule="auto"/>
        <w:ind w:left="5"/>
      </w:pPr>
      <w:r>
        <w:t xml:space="preserve"> </w:t>
      </w:r>
    </w:p>
    <w:p w14:paraId="6ECA1F92" w14:textId="77777777" w:rsidR="00C77FA1" w:rsidRDefault="00C77FA1">
      <w:pPr>
        <w:spacing w:line="240" w:lineRule="auto"/>
        <w:ind w:left="10" w:right="-15" w:hanging="10"/>
        <w:jc w:val="center"/>
      </w:pPr>
      <w:r>
        <w:rPr>
          <w:rFonts w:eastAsia="Times New Roman" w:cs="Times New Roman"/>
          <w:b/>
        </w:rPr>
        <w:t xml:space="preserve">ABSTRACT </w:t>
      </w:r>
    </w:p>
    <w:p w14:paraId="5B2A200B" w14:textId="77777777" w:rsidR="00C77FA1" w:rsidRDefault="00C77FA1" w:rsidP="006C7E3D">
      <w:pPr>
        <w:spacing w:after="239" w:line="234" w:lineRule="auto"/>
        <w:ind w:left="-10"/>
        <w:jc w:val="both"/>
      </w:pPr>
      <w:r>
        <w:rPr>
          <w:rFonts w:eastAsia="Times New Roman" w:cs="Times New Roman"/>
          <w:i/>
        </w:rPr>
        <w:t xml:space="preserve">Non-pneumonic ARI is a cough symptom that does not show symptoms of increased respiratory frequency and does not show any indrawing of the wall from the lower chest. Non-pneumonic ARI is caused by viruses or bacteria that attack the nose or trachea (respiratory tract), causing respiratory function to become impaired. The purpose of this study was to determine the pattern of drug use in patients with non-pneumonic ARI under five in the Tlanakan Health Center Work Area in 2022. The method used is a retrospective descriptive method. The results of the study from 218 samples showed that toddlers aged 1-3 years were the most common cases with a total of 103 patients (47.25%), based on gender were 125 boys (57.33%), based on body weight 10-16 kg in 111 patients (50.93%), the types of drugs used were 3 drug combinations namely Paracetamol, CTM and Ambroxol in 44 patients (20.18%); Paracetamol, Vit C and Guafenesin in 26 patients (11.92%); Paracetamol, Salbutamol and Ambroxol in 21 patients (9.36%); Paracetamol, CTM and Guaifenesin in 19 patients (8.71%) and Amoxicillin, Vit C and Guaifenesin in 6 patients (2.75%), the most widely used dosage forms were powder preparations with a frequency of 3 times a day in 151 patients (69, 27%). The conclusion of this study is that the most used non-pneumonic ARI drugs in the Tlanakan Public Health Center are drugs with three combinations. </w:t>
      </w:r>
    </w:p>
    <w:p w14:paraId="7A1C3782" w14:textId="77777777" w:rsidR="00C77FA1" w:rsidRPr="006C7E3D" w:rsidRDefault="00C77FA1">
      <w:pPr>
        <w:spacing w:line="240" w:lineRule="auto"/>
        <w:ind w:left="5"/>
        <w:rPr>
          <w:bCs/>
        </w:rPr>
      </w:pPr>
      <w:r>
        <w:rPr>
          <w:rFonts w:eastAsia="Times New Roman" w:cs="Times New Roman"/>
          <w:b/>
          <w:i/>
        </w:rPr>
        <w:t xml:space="preserve">Keywords : </w:t>
      </w:r>
      <w:r w:rsidRPr="006C7E3D">
        <w:rPr>
          <w:rFonts w:eastAsia="Times New Roman" w:cs="Times New Roman"/>
          <w:bCs/>
          <w:i/>
        </w:rPr>
        <w:t xml:space="preserve">ISPA Non Pneumonia, Toddlers, Drug Use </w:t>
      </w:r>
    </w:p>
    <w:p w14:paraId="278A7D8D" w14:textId="77777777" w:rsidR="00C77FA1" w:rsidRDefault="00C77FA1">
      <w:pPr>
        <w:sectPr w:rsidR="00C77FA1" w:rsidSect="00A00D5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180"/>
          <w:cols w:space="708"/>
          <w:docGrid w:linePitch="360"/>
        </w:sectPr>
      </w:pPr>
    </w:p>
    <w:p w14:paraId="0933CA99" w14:textId="77777777" w:rsidR="00C77FA1" w:rsidRPr="006C7E3D" w:rsidRDefault="00C77FA1" w:rsidP="006C7E3D">
      <w:pPr>
        <w:spacing w:after="190" w:line="246" w:lineRule="auto"/>
        <w:ind w:left="-5" w:right="-15" w:hanging="10"/>
        <w:jc w:val="both"/>
        <w:rPr>
          <w:rFonts w:cs="Times New Roman"/>
          <w:szCs w:val="24"/>
        </w:rPr>
      </w:pPr>
      <w:r w:rsidRPr="006C7E3D">
        <w:rPr>
          <w:rFonts w:eastAsia="Times New Roman" w:cs="Times New Roman"/>
          <w:b/>
          <w:szCs w:val="24"/>
        </w:rPr>
        <w:lastRenderedPageBreak/>
        <w:t xml:space="preserve">Pendahuluan </w:t>
      </w:r>
    </w:p>
    <w:p w14:paraId="6F0DCCF6" w14:textId="3751FA31" w:rsidR="00C77FA1" w:rsidRPr="006C7E3D" w:rsidRDefault="00C77FA1" w:rsidP="006C7E3D">
      <w:pPr>
        <w:ind w:firstLine="720"/>
        <w:jc w:val="both"/>
        <w:rPr>
          <w:rFonts w:cs="Times New Roman"/>
          <w:szCs w:val="24"/>
        </w:rPr>
      </w:pPr>
      <w:r w:rsidRPr="006C7E3D">
        <w:rPr>
          <w:rFonts w:cs="Times New Roman"/>
          <w:szCs w:val="24"/>
        </w:rPr>
        <w:t xml:space="preserve">Penyakit demam tifoid merupakan infeksi akut Infeksi Saluran Pernapasan Akut (ISPA) adalah penyakit saluran pernapasan atas atau bawah yang biasanya bisa menular, yang dapat menimbulkan berbagai </w:t>
      </w:r>
      <w:r w:rsidRPr="006C7E3D">
        <w:rPr>
          <w:rFonts w:eastAsia="Times New Roman" w:cs="Times New Roman"/>
          <w:i/>
          <w:szCs w:val="24"/>
        </w:rPr>
        <w:t xml:space="preserve">spectrum </w:t>
      </w:r>
      <w:r w:rsidRPr="006C7E3D">
        <w:rPr>
          <w:rFonts w:cs="Times New Roman"/>
          <w:szCs w:val="24"/>
        </w:rPr>
        <w:t xml:space="preserve">penyakit yang berkisar dari tanpa gejala atau infeksi ringan sampai penyakit yang parah dan dapat mematikan [1] </w:t>
      </w:r>
    </w:p>
    <w:p w14:paraId="7F7CE3B0" w14:textId="77777777" w:rsidR="00C77FA1" w:rsidRPr="006C7E3D" w:rsidRDefault="00C77FA1" w:rsidP="006C7E3D">
      <w:pPr>
        <w:ind w:firstLine="720"/>
        <w:jc w:val="both"/>
        <w:rPr>
          <w:rFonts w:cs="Times New Roman"/>
          <w:szCs w:val="24"/>
        </w:rPr>
      </w:pPr>
      <w:r w:rsidRPr="006C7E3D">
        <w:rPr>
          <w:rFonts w:cs="Times New Roman"/>
          <w:szCs w:val="24"/>
        </w:rPr>
        <w:t xml:space="preserve">Menurut WHO, ISPA pneumonia merupakan bentuk peradangan dari jaringan paru dengan ditandai gejala batuk dan sesak atau nafas cepat yang mengenai jaringan paru-paru (alveoli). Sedangkan ISPA non pneumonia mencakup kelompok penderita balita dengan batuk yang tidak menunjukan gejala peningkatan frekuensi nafas dan tidak menunjukkan adanya tarikan dinding dari dada bagian bawah ke dalam.  </w:t>
      </w:r>
    </w:p>
    <w:p w14:paraId="7537CD8C" w14:textId="77777777" w:rsidR="00C77FA1" w:rsidRPr="006C7E3D" w:rsidRDefault="00C77FA1" w:rsidP="006C7E3D">
      <w:pPr>
        <w:ind w:firstLine="720"/>
        <w:jc w:val="both"/>
        <w:rPr>
          <w:rFonts w:cs="Times New Roman"/>
          <w:szCs w:val="24"/>
        </w:rPr>
      </w:pPr>
      <w:r w:rsidRPr="006C7E3D">
        <w:rPr>
          <w:rFonts w:cs="Times New Roman"/>
          <w:szCs w:val="24"/>
        </w:rPr>
        <w:t xml:space="preserve">Penyakit ISPA (Infeksi Saluran Pernafasan Akut)  adalah infeksi akut yang melibatkan organ saluran pernapasan bagian atas dan saluran pernapasan bawah. Penyakit ini biasanya disebabkan oleh virus atau bakteri yang menyerang hidung atau trakea (saluran pernapasan) sehingga menyebabkan fungsi pernapasan menjadi terganggu. </w:t>
      </w:r>
    </w:p>
    <w:p w14:paraId="78D56260" w14:textId="77777777" w:rsidR="00C77FA1" w:rsidRPr="006C7E3D" w:rsidRDefault="00C77FA1" w:rsidP="006C7E3D">
      <w:pPr>
        <w:ind w:firstLine="720"/>
        <w:jc w:val="both"/>
        <w:rPr>
          <w:rFonts w:cs="Times New Roman"/>
          <w:szCs w:val="24"/>
        </w:rPr>
      </w:pPr>
      <w:r w:rsidRPr="006C7E3D">
        <w:rPr>
          <w:rFonts w:cs="Times New Roman"/>
          <w:szCs w:val="24"/>
        </w:rPr>
        <w:t xml:space="preserve">World Health Organization (WHO) Tahun 2016 memperkirakan insiden ISPA di Negara berkembang dengan angka kematian balita diatas 40 per 1000 kelahiran hidup adalah 15-20% pertahun pada golongan usia balita. Menurut WHO ± 13 juta balita di dunia meninggal akibat ISPA setiap tahunnya [2]. </w:t>
      </w:r>
    </w:p>
    <w:p w14:paraId="2D2BFA15" w14:textId="77777777" w:rsidR="00C77FA1" w:rsidRPr="006C7E3D" w:rsidRDefault="00C77FA1" w:rsidP="006C7E3D">
      <w:pPr>
        <w:ind w:firstLine="720"/>
        <w:jc w:val="both"/>
        <w:rPr>
          <w:rFonts w:cs="Times New Roman"/>
          <w:szCs w:val="24"/>
        </w:rPr>
      </w:pPr>
      <w:r w:rsidRPr="006C7E3D">
        <w:rPr>
          <w:rFonts w:cs="Times New Roman"/>
          <w:szCs w:val="24"/>
        </w:rPr>
        <w:t xml:space="preserve">Prevalensi kejadian ISPA di Indonesia mengalami penurunan dengan melihat data hasil Riskesdas tahun 2013 menunjukkan bahwa prevalensi kejadian ISPA sebesar 25,0% sedangkan hasil Riskesdas tahun 2018 menunjukkan bahwa prevalensi kejadian   ISPA sebesar 9,3%. Cakupan penemuan ISPA di Jawa timur  sebanyak 742,9% [3]. </w:t>
      </w:r>
    </w:p>
    <w:p w14:paraId="0B25BF30" w14:textId="77777777" w:rsidR="00C77FA1" w:rsidRPr="006C7E3D" w:rsidRDefault="00C77FA1" w:rsidP="006C7E3D">
      <w:pPr>
        <w:ind w:firstLine="720"/>
        <w:jc w:val="both"/>
        <w:rPr>
          <w:rFonts w:cs="Times New Roman"/>
          <w:szCs w:val="24"/>
        </w:rPr>
      </w:pPr>
      <w:r w:rsidRPr="006C7E3D">
        <w:rPr>
          <w:rFonts w:cs="Times New Roman"/>
          <w:szCs w:val="24"/>
        </w:rPr>
        <w:lastRenderedPageBreak/>
        <w:t xml:space="preserve">Pengobatan merupakan suatu proses ilmiah yang di lakukan oleh dokter atau perawat terhadap pasien berdasarkan diagnosa yang diperoleh. Upaya tersebut di tempuh melalui suatu tahapan prosedur yang terdiri dari anamnesis, pemeriksaan, diagnosa, pengobatan dan tindak lanjut. Terapi utama pasien ISPA dilakukan dengan terapi antibiotik dan pemberian terapi supportif seperti golongan antihistamin, analgetik antipiretik, dekongestan, kortikosteroid, bronkodilator, mukolitik, ekspektoran dan vitamin [4]. </w:t>
      </w:r>
    </w:p>
    <w:p w14:paraId="422459D2" w14:textId="77777777" w:rsidR="00C77FA1" w:rsidRPr="006C7E3D" w:rsidRDefault="00C77FA1" w:rsidP="006C7E3D">
      <w:pPr>
        <w:ind w:firstLine="720"/>
        <w:jc w:val="both"/>
        <w:rPr>
          <w:rFonts w:cs="Times New Roman"/>
          <w:szCs w:val="24"/>
        </w:rPr>
      </w:pPr>
      <w:r w:rsidRPr="006C7E3D">
        <w:rPr>
          <w:rFonts w:cs="Times New Roman"/>
          <w:szCs w:val="24"/>
        </w:rPr>
        <w:t xml:space="preserve">Penlitian yang dilakukan oleh Syarifuddin (2019) menunjukkan bahwa penggunaan obat pada pasien ISPA menggunakan obat antibiotik sebanyak 85%, dengan tambahan terapi suportif yaitu obat golongan ekspektoran 92%, golongan antihistamin 80%, golongan analgetik-antipiretik 67% dan golongan kortikosteroid 46%. Penyakit masuk ke jaringan paru-paru dan menjadi penyebab utama kematian.  </w:t>
      </w:r>
    </w:p>
    <w:p w14:paraId="0796AEC6" w14:textId="77777777" w:rsidR="00C77FA1" w:rsidRPr="006C7E3D" w:rsidRDefault="00C77FA1" w:rsidP="006C7E3D">
      <w:pPr>
        <w:spacing w:after="202"/>
        <w:ind w:firstLine="720"/>
        <w:jc w:val="both"/>
        <w:rPr>
          <w:rFonts w:cs="Times New Roman"/>
          <w:szCs w:val="24"/>
        </w:rPr>
      </w:pPr>
      <w:r w:rsidRPr="006C7E3D">
        <w:rPr>
          <w:rFonts w:cs="Times New Roman"/>
          <w:szCs w:val="24"/>
        </w:rPr>
        <w:t xml:space="preserve">Berdasarkan hal tersebut peneliti tertarik untuk mengetahui pola penggunaan obat pada pasien ISPA non pneumonia di wilayah kerja peuskesmas tlanakan, karena di puskesmas tersebut penyakit ISPA non pneumonia menduduki peringkat pertama. Hal ini peneliti ingin mengetahui obat apa saja yang digunakan untuk psien ISPA non pneumonia.. </w:t>
      </w:r>
    </w:p>
    <w:p w14:paraId="3ABBA178" w14:textId="26E1F7A0" w:rsidR="00C77FA1" w:rsidRPr="006C7E3D" w:rsidRDefault="00C77FA1" w:rsidP="006C7E3D">
      <w:pPr>
        <w:spacing w:line="240" w:lineRule="auto"/>
        <w:ind w:left="10" w:right="-15" w:hanging="10"/>
        <w:jc w:val="both"/>
        <w:rPr>
          <w:rFonts w:cs="Times New Roman"/>
          <w:szCs w:val="24"/>
          <w:lang w:val="en-US"/>
        </w:rPr>
      </w:pPr>
      <w:r w:rsidRPr="006C7E3D">
        <w:rPr>
          <w:rFonts w:eastAsia="Times New Roman" w:cs="Times New Roman"/>
          <w:b/>
          <w:szCs w:val="24"/>
        </w:rPr>
        <w:t>Met</w:t>
      </w:r>
      <w:r w:rsidR="006C7E3D">
        <w:rPr>
          <w:rFonts w:eastAsia="Times New Roman" w:cs="Times New Roman"/>
          <w:b/>
          <w:szCs w:val="24"/>
          <w:lang w:val="en-US"/>
        </w:rPr>
        <w:t>ode</w:t>
      </w:r>
    </w:p>
    <w:p w14:paraId="58BD9303" w14:textId="0D83889F" w:rsidR="00C77FA1" w:rsidRPr="006C7E3D" w:rsidRDefault="00C77FA1" w:rsidP="006C7E3D">
      <w:pPr>
        <w:ind w:firstLine="720"/>
        <w:jc w:val="both"/>
        <w:rPr>
          <w:rFonts w:cs="Times New Roman"/>
          <w:szCs w:val="24"/>
        </w:rPr>
      </w:pPr>
      <w:r w:rsidRPr="006C7E3D">
        <w:rPr>
          <w:rFonts w:cs="Times New Roman"/>
          <w:szCs w:val="24"/>
        </w:rPr>
        <w:t xml:space="preserve">Penelitian ini dilakukan di Puskesmas Tlanakan, </w:t>
      </w:r>
      <w:r w:rsidRPr="006C7E3D">
        <w:rPr>
          <w:rFonts w:cs="Times New Roman"/>
          <w:szCs w:val="24"/>
        </w:rPr>
        <w:tab/>
        <w:t xml:space="preserve">kabupaten </w:t>
      </w:r>
      <w:r w:rsidRPr="006C7E3D">
        <w:rPr>
          <w:rFonts w:cs="Times New Roman"/>
          <w:szCs w:val="24"/>
        </w:rPr>
        <w:tab/>
        <w:t>pamekasan</w:t>
      </w:r>
      <w:r w:rsidR="006C7E3D">
        <w:rPr>
          <w:rFonts w:cs="Times New Roman"/>
          <w:szCs w:val="24"/>
          <w:lang w:val="en-US"/>
        </w:rPr>
        <w:t xml:space="preserve"> </w:t>
      </w:r>
      <w:r w:rsidRPr="006C7E3D">
        <w:rPr>
          <w:rFonts w:cs="Times New Roman"/>
          <w:szCs w:val="24"/>
        </w:rPr>
        <w:t xml:space="preserve">yang  dilaksanakan pada Bulan Mei sampai Bulan Juni 2023.  Jenis penelitian  yang dilakukan adalah deskriptif yang bersifat retrospektif. Populasi dan sampel yang dambil seluruh data rekam medik yang didiagnosa gejala ISPA non pneumonia diwilayah kerja puskesmas tlanakan pada tahun 2022. </w:t>
      </w:r>
    </w:p>
    <w:p w14:paraId="7BBDBA38" w14:textId="77777777" w:rsidR="00C77FA1" w:rsidRPr="006C7E3D" w:rsidRDefault="00C77FA1" w:rsidP="006C7E3D">
      <w:pPr>
        <w:spacing w:after="138"/>
        <w:jc w:val="both"/>
        <w:rPr>
          <w:rFonts w:cs="Times New Roman"/>
          <w:szCs w:val="24"/>
        </w:rPr>
      </w:pPr>
      <w:r w:rsidRPr="006C7E3D">
        <w:rPr>
          <w:rFonts w:cs="Times New Roman"/>
          <w:szCs w:val="24"/>
        </w:rPr>
        <w:t xml:space="preserve">Teknik sampel yang dilakukan dengan metode </w:t>
      </w:r>
      <w:r w:rsidRPr="006C7E3D">
        <w:rPr>
          <w:rFonts w:eastAsia="Times New Roman" w:cs="Times New Roman"/>
          <w:i/>
          <w:szCs w:val="24"/>
        </w:rPr>
        <w:t xml:space="preserve">purposive sampling </w:t>
      </w:r>
      <w:r w:rsidRPr="006C7E3D">
        <w:rPr>
          <w:rFonts w:cs="Times New Roman"/>
          <w:szCs w:val="24"/>
        </w:rPr>
        <w:t xml:space="preserve">atau penentuan </w:t>
      </w:r>
      <w:r w:rsidRPr="006C7E3D">
        <w:rPr>
          <w:rFonts w:cs="Times New Roman"/>
          <w:szCs w:val="24"/>
        </w:rPr>
        <w:lastRenderedPageBreak/>
        <w:t xml:space="preserve">sampel berdasarkan pertimbangan tertentu yang dipilih perbulan dengan jumlah yang sama sebanyak 18 sampel dengan menggunakan rusmus slovin: </w:t>
      </w:r>
    </w:p>
    <w:p w14:paraId="389DF845" w14:textId="77777777" w:rsidR="00C77FA1" w:rsidRPr="006C7E3D" w:rsidRDefault="00C77FA1" w:rsidP="006C7E3D">
      <w:pPr>
        <w:spacing w:line="240" w:lineRule="auto"/>
        <w:jc w:val="both"/>
        <w:rPr>
          <w:rFonts w:cs="Times New Roman"/>
          <w:szCs w:val="24"/>
        </w:rPr>
      </w:pPr>
      <w:r w:rsidRPr="006C7E3D">
        <w:rPr>
          <w:rFonts w:eastAsia="Calibri" w:cs="Times New Roman"/>
          <w:noProof/>
          <w:position w:val="-16"/>
          <w:szCs w:val="24"/>
          <w:lang w:eastAsia="id-ID"/>
        </w:rPr>
        <w:drawing>
          <wp:inline distT="0" distB="0" distL="0" distR="0" wp14:anchorId="1D53F940" wp14:editId="398DC439">
            <wp:extent cx="755650" cy="304800"/>
            <wp:effectExtent l="0" t="0" r="0" b="0"/>
            <wp:docPr id="12235" name="Picture 12235"/>
            <wp:cNvGraphicFramePr/>
            <a:graphic xmlns:a="http://schemas.openxmlformats.org/drawingml/2006/main">
              <a:graphicData uri="http://schemas.openxmlformats.org/drawingml/2006/picture">
                <pic:pic xmlns:pic="http://schemas.openxmlformats.org/drawingml/2006/picture">
                  <pic:nvPicPr>
                    <pic:cNvPr id="12235" name="Picture 12235"/>
                    <pic:cNvPicPr/>
                  </pic:nvPicPr>
                  <pic:blipFill>
                    <a:blip r:embed="rId13"/>
                    <a:stretch>
                      <a:fillRect/>
                    </a:stretch>
                  </pic:blipFill>
                  <pic:spPr>
                    <a:xfrm>
                      <a:off x="0" y="0"/>
                      <a:ext cx="755650" cy="304800"/>
                    </a:xfrm>
                    <a:prstGeom prst="rect">
                      <a:avLst/>
                    </a:prstGeom>
                  </pic:spPr>
                </pic:pic>
              </a:graphicData>
            </a:graphic>
          </wp:inline>
        </w:drawing>
      </w:r>
      <w:r w:rsidRPr="006C7E3D">
        <w:rPr>
          <w:rFonts w:cs="Times New Roman"/>
          <w:szCs w:val="24"/>
        </w:rPr>
        <w:t xml:space="preserve"> </w:t>
      </w:r>
    </w:p>
    <w:p w14:paraId="1F4A47B5" w14:textId="77777777" w:rsidR="00C77FA1" w:rsidRPr="006C7E3D" w:rsidRDefault="00C77FA1" w:rsidP="006C7E3D">
      <w:pPr>
        <w:spacing w:line="240" w:lineRule="auto"/>
        <w:jc w:val="both"/>
        <w:rPr>
          <w:rFonts w:cs="Times New Roman"/>
          <w:szCs w:val="24"/>
        </w:rPr>
      </w:pPr>
      <w:r w:rsidRPr="006C7E3D">
        <w:rPr>
          <w:rFonts w:cs="Times New Roman"/>
          <w:szCs w:val="24"/>
        </w:rPr>
        <w:t xml:space="preserve"> </w:t>
      </w:r>
    </w:p>
    <w:p w14:paraId="7FADC005" w14:textId="77777777" w:rsidR="00C77FA1" w:rsidRPr="006C7E3D" w:rsidRDefault="00C77FA1" w:rsidP="006C7E3D">
      <w:pPr>
        <w:jc w:val="both"/>
        <w:rPr>
          <w:rFonts w:cs="Times New Roman"/>
          <w:szCs w:val="24"/>
        </w:rPr>
      </w:pPr>
      <w:r w:rsidRPr="006C7E3D">
        <w:rPr>
          <w:rFonts w:cs="Times New Roman"/>
          <w:szCs w:val="24"/>
        </w:rPr>
        <w:t xml:space="preserve">Diketahui: </w:t>
      </w:r>
    </w:p>
    <w:p w14:paraId="47AC74C8" w14:textId="77777777" w:rsidR="00C77FA1" w:rsidRPr="006C7E3D" w:rsidRDefault="00C77FA1" w:rsidP="006C7E3D">
      <w:pPr>
        <w:spacing w:after="123"/>
        <w:ind w:right="165"/>
        <w:jc w:val="both"/>
        <w:rPr>
          <w:rFonts w:cs="Times New Roman"/>
          <w:szCs w:val="24"/>
        </w:rPr>
      </w:pPr>
      <w:r w:rsidRPr="006C7E3D">
        <w:rPr>
          <w:rFonts w:cs="Times New Roman"/>
          <w:szCs w:val="24"/>
        </w:rPr>
        <w:t>n = Jumlah sampel yang dicari N = Ukuran populasi e = Batasan toleransi kesalahan = 5% (0,05</w:t>
      </w:r>
      <w:r w:rsidRPr="006C7E3D">
        <w:rPr>
          <w:rFonts w:cs="Times New Roman"/>
          <w:szCs w:val="24"/>
          <w:vertAlign w:val="superscript"/>
        </w:rPr>
        <w:t>2</w:t>
      </w:r>
      <w:r w:rsidRPr="006C7E3D">
        <w:rPr>
          <w:rFonts w:cs="Times New Roman"/>
          <w:szCs w:val="24"/>
        </w:rPr>
        <w:t xml:space="preserve">) Hasil yang diperoleh yaitu sebanyak 218 sampel  </w:t>
      </w:r>
    </w:p>
    <w:p w14:paraId="3E08E4F6" w14:textId="77777777" w:rsidR="00C77FA1" w:rsidRPr="006C7E3D" w:rsidRDefault="00C77FA1" w:rsidP="006C7E3D">
      <w:pPr>
        <w:ind w:firstLine="720"/>
        <w:jc w:val="both"/>
        <w:rPr>
          <w:rFonts w:cs="Times New Roman"/>
          <w:szCs w:val="24"/>
        </w:rPr>
      </w:pPr>
      <w:r w:rsidRPr="006C7E3D">
        <w:rPr>
          <w:rFonts w:cs="Times New Roman"/>
          <w:szCs w:val="24"/>
        </w:rPr>
        <w:t xml:space="preserve">Kriteria sampel ada 2 yaitu kriteria inklusi meliputi kode rekam medik yang digunakan pasien data rekam medik yang lengkap berdasarkan jenis kelamin, umur, berat badan, jenis obat, bentuk sediaan, aturan pakai, sedangkan kriteria eklusi meliputi data rekam medik yang tidak lengkap. </w:t>
      </w:r>
    </w:p>
    <w:p w14:paraId="76449611" w14:textId="77777777" w:rsidR="00C77FA1" w:rsidRPr="006C7E3D" w:rsidRDefault="00C77FA1" w:rsidP="006C7E3D">
      <w:pPr>
        <w:ind w:firstLine="283"/>
        <w:jc w:val="both"/>
        <w:rPr>
          <w:rFonts w:cs="Times New Roman"/>
          <w:szCs w:val="24"/>
        </w:rPr>
      </w:pPr>
      <w:r w:rsidRPr="006C7E3D">
        <w:rPr>
          <w:rFonts w:cs="Times New Roman"/>
          <w:szCs w:val="24"/>
        </w:rPr>
        <w:t xml:space="preserve">Cara pengumpulan data menggunakan data sekunder yang diambil dari data rekam medik pada bulan Januari – desember tahun 2022 dan analis data yang digunakan yaitu deskriptif dimana memberikan pola penggunaan obat dari hasil yang diperoleh dengan menggunakan rumus sebagai berikut: </w:t>
      </w:r>
    </w:p>
    <w:p w14:paraId="403E0F2C" w14:textId="77777777" w:rsidR="00C77FA1" w:rsidRPr="006C7E3D" w:rsidRDefault="00C77FA1" w:rsidP="006C7E3D">
      <w:pPr>
        <w:spacing w:line="240" w:lineRule="auto"/>
        <w:ind w:left="566"/>
        <w:jc w:val="both"/>
        <w:rPr>
          <w:rFonts w:cs="Times New Roman"/>
          <w:szCs w:val="24"/>
        </w:rPr>
      </w:pPr>
      <w:r w:rsidRPr="006C7E3D">
        <w:rPr>
          <w:rFonts w:cs="Times New Roman"/>
          <w:szCs w:val="24"/>
        </w:rPr>
        <w:t xml:space="preserve"> </w:t>
      </w:r>
    </w:p>
    <w:p w14:paraId="27D8F4B6" w14:textId="77777777" w:rsidR="00C77FA1" w:rsidRPr="006C7E3D" w:rsidRDefault="00C77FA1" w:rsidP="006C7E3D">
      <w:pPr>
        <w:spacing w:after="198" w:line="232" w:lineRule="auto"/>
        <w:ind w:left="1653" w:hanging="1370"/>
        <w:jc w:val="both"/>
        <w:rPr>
          <w:rFonts w:cs="Times New Roman"/>
          <w:szCs w:val="24"/>
        </w:rPr>
      </w:pPr>
      <w:r w:rsidRPr="006C7E3D">
        <w:rPr>
          <w:rFonts w:cs="Times New Roman"/>
          <w:szCs w:val="24"/>
        </w:rPr>
        <w:t xml:space="preserve">% = </w:t>
      </w:r>
      <w:r w:rsidRPr="006C7E3D">
        <w:rPr>
          <w:rFonts w:cs="Times New Roman"/>
          <w:szCs w:val="24"/>
          <w:u w:val="single" w:color="000000"/>
        </w:rPr>
        <w:t xml:space="preserve">Frekuensi masing-masing individu </w:t>
      </w:r>
      <w:r w:rsidRPr="006C7E3D">
        <w:rPr>
          <w:rFonts w:cs="Times New Roman"/>
          <w:szCs w:val="24"/>
        </w:rPr>
        <w:t xml:space="preserve">x 100 Jumlah frekuensi </w:t>
      </w:r>
    </w:p>
    <w:p w14:paraId="4930A8E8" w14:textId="77777777" w:rsidR="00C77FA1" w:rsidRPr="006C7E3D" w:rsidRDefault="00C77FA1" w:rsidP="006C7E3D">
      <w:pPr>
        <w:spacing w:after="202"/>
        <w:ind w:firstLine="10"/>
        <w:jc w:val="both"/>
        <w:rPr>
          <w:rFonts w:cs="Times New Roman"/>
          <w:szCs w:val="24"/>
        </w:rPr>
      </w:pPr>
      <w:r w:rsidRPr="006C7E3D">
        <w:rPr>
          <w:rFonts w:cs="Times New Roman"/>
          <w:szCs w:val="24"/>
        </w:rPr>
        <w:t xml:space="preserve">Variabel dalam penelitian ini adalah variabel variasi yaitu pola penggunaa obat pada pasien ISPA non pneumonia pada tahun 2020 yang meliputi jenis kelamin, umur, berat badan, jenis obat dan frekuensi penggunaan.  </w:t>
      </w:r>
    </w:p>
    <w:p w14:paraId="4949F6B5" w14:textId="319B4723" w:rsidR="00C77FA1" w:rsidRPr="006C7E3D" w:rsidRDefault="006C7E3D" w:rsidP="006C7E3D">
      <w:pPr>
        <w:pStyle w:val="Heading1"/>
        <w:spacing w:after="190"/>
        <w:ind w:left="0" w:firstLine="0"/>
        <w:jc w:val="both"/>
        <w:rPr>
          <w:sz w:val="24"/>
          <w:szCs w:val="24"/>
        </w:rPr>
      </w:pPr>
      <w:proofErr w:type="spellStart"/>
      <w:r>
        <w:rPr>
          <w:i w:val="0"/>
          <w:iCs/>
          <w:sz w:val="24"/>
          <w:szCs w:val="24"/>
          <w:lang w:val="en-US"/>
        </w:rPr>
        <w:t>Hasil</w:t>
      </w:r>
      <w:proofErr w:type="spellEnd"/>
      <w:r>
        <w:rPr>
          <w:i w:val="0"/>
          <w:iCs/>
          <w:sz w:val="24"/>
          <w:szCs w:val="24"/>
          <w:lang w:val="en-US"/>
        </w:rPr>
        <w:t xml:space="preserve"> </w:t>
      </w:r>
      <w:proofErr w:type="spellStart"/>
      <w:r>
        <w:rPr>
          <w:i w:val="0"/>
          <w:iCs/>
          <w:sz w:val="24"/>
          <w:szCs w:val="24"/>
          <w:lang w:val="en-US"/>
        </w:rPr>
        <w:t>dan</w:t>
      </w:r>
      <w:proofErr w:type="spellEnd"/>
      <w:r>
        <w:rPr>
          <w:i w:val="0"/>
          <w:iCs/>
          <w:sz w:val="24"/>
          <w:szCs w:val="24"/>
          <w:lang w:val="en-US"/>
        </w:rPr>
        <w:t xml:space="preserve"> </w:t>
      </w:r>
      <w:proofErr w:type="spellStart"/>
      <w:r>
        <w:rPr>
          <w:i w:val="0"/>
          <w:iCs/>
          <w:sz w:val="24"/>
          <w:szCs w:val="24"/>
          <w:lang w:val="en-US"/>
        </w:rPr>
        <w:t>Pembahasan</w:t>
      </w:r>
      <w:proofErr w:type="spellEnd"/>
      <w:r w:rsidR="00C77FA1" w:rsidRPr="006C7E3D">
        <w:rPr>
          <w:sz w:val="24"/>
          <w:szCs w:val="24"/>
        </w:rPr>
        <w:t xml:space="preserve"> </w:t>
      </w:r>
    </w:p>
    <w:p w14:paraId="358A5E30" w14:textId="77777777" w:rsidR="00C77FA1" w:rsidRPr="006C7E3D" w:rsidRDefault="00C77FA1" w:rsidP="006C7E3D">
      <w:pPr>
        <w:jc w:val="both"/>
        <w:rPr>
          <w:rFonts w:cs="Times New Roman"/>
          <w:szCs w:val="24"/>
        </w:rPr>
      </w:pPr>
      <w:r w:rsidRPr="006C7E3D">
        <w:rPr>
          <w:rFonts w:cs="Times New Roman"/>
          <w:szCs w:val="24"/>
        </w:rPr>
        <w:t xml:space="preserve">Penelitian ini dilakukan untuk mengetahui pola penggunaan obat pada pasien ISPA non pneumonia balita diwilayah kerja puskesmas tlanakan. Pengambilan sampel dilihat dari rekam medik yang terdiagnosa penyakit ISPA non pneumonia. Penelitian ini dilakukan pada </w:t>
      </w:r>
      <w:r w:rsidRPr="006C7E3D">
        <w:rPr>
          <w:rFonts w:cs="Times New Roman"/>
          <w:szCs w:val="24"/>
        </w:rPr>
        <w:lastRenderedPageBreak/>
        <w:t xml:space="preserve">Puskesmas Tlanakan pada bulan Januari - Desember 2022. </w:t>
      </w:r>
    </w:p>
    <w:p w14:paraId="184C2883" w14:textId="77777777" w:rsidR="00C77FA1" w:rsidRPr="006C7E3D" w:rsidRDefault="00C77FA1" w:rsidP="006C7E3D">
      <w:pPr>
        <w:jc w:val="both"/>
        <w:rPr>
          <w:rFonts w:cs="Times New Roman"/>
          <w:szCs w:val="24"/>
        </w:rPr>
      </w:pPr>
      <w:r w:rsidRPr="006C7E3D">
        <w:rPr>
          <w:rFonts w:cs="Times New Roman"/>
          <w:szCs w:val="24"/>
        </w:rPr>
        <w:t xml:space="preserve">Hasil yang diperoleh yang diperoleh dari peneltian ini sebanyak 218 data pasein ISPA non pneumonia balita, dengan beberapa karakteristik sebagai berikut:  </w:t>
      </w:r>
    </w:p>
    <w:p w14:paraId="3CBAF199" w14:textId="77777777" w:rsidR="00C77FA1" w:rsidRPr="006C7E3D" w:rsidRDefault="00C77FA1" w:rsidP="006C7E3D">
      <w:pPr>
        <w:spacing w:after="114" w:line="246" w:lineRule="auto"/>
        <w:ind w:left="-5" w:right="-15" w:hanging="10"/>
        <w:jc w:val="both"/>
        <w:rPr>
          <w:rFonts w:cs="Times New Roman"/>
          <w:szCs w:val="24"/>
        </w:rPr>
      </w:pPr>
      <w:r w:rsidRPr="006C7E3D">
        <w:rPr>
          <w:rFonts w:eastAsia="Times New Roman" w:cs="Times New Roman"/>
          <w:b/>
          <w:szCs w:val="24"/>
        </w:rPr>
        <w:t xml:space="preserve">Karakteristik Pasien </w:t>
      </w:r>
    </w:p>
    <w:tbl>
      <w:tblPr>
        <w:tblStyle w:val="TableGrid"/>
        <w:tblpPr w:vertAnchor="text" w:tblpX="365" w:tblpY="454"/>
        <w:tblOverlap w:val="never"/>
        <w:tblW w:w="4160" w:type="dxa"/>
        <w:tblInd w:w="0" w:type="dxa"/>
        <w:tblCellMar>
          <w:right w:w="115" w:type="dxa"/>
        </w:tblCellMar>
        <w:tblLook w:val="04A0" w:firstRow="1" w:lastRow="0" w:firstColumn="1" w:lastColumn="0" w:noHBand="0" w:noVBand="1"/>
      </w:tblPr>
      <w:tblGrid>
        <w:gridCol w:w="1721"/>
        <w:gridCol w:w="1229"/>
        <w:gridCol w:w="1210"/>
      </w:tblGrid>
      <w:tr w:rsidR="00C77FA1" w:rsidRPr="006C7E3D" w14:paraId="3E9E038D" w14:textId="77777777">
        <w:trPr>
          <w:trHeight w:val="516"/>
        </w:trPr>
        <w:tc>
          <w:tcPr>
            <w:tcW w:w="1721" w:type="dxa"/>
            <w:tcBorders>
              <w:top w:val="single" w:sz="4" w:space="0" w:color="000000"/>
              <w:left w:val="nil"/>
              <w:bottom w:val="single" w:sz="4" w:space="0" w:color="000000"/>
              <w:right w:val="nil"/>
            </w:tcBorders>
          </w:tcPr>
          <w:p w14:paraId="6AD34369" w14:textId="77777777" w:rsidR="00C77FA1" w:rsidRPr="006C7E3D" w:rsidRDefault="00C77FA1" w:rsidP="006C7E3D">
            <w:pPr>
              <w:spacing w:line="276" w:lineRule="auto"/>
              <w:ind w:left="487" w:firstLine="24"/>
              <w:jc w:val="both"/>
              <w:rPr>
                <w:rFonts w:ascii="Times New Roman" w:hAnsi="Times New Roman" w:cs="Times New Roman"/>
                <w:sz w:val="24"/>
                <w:szCs w:val="24"/>
              </w:rPr>
            </w:pPr>
            <w:r w:rsidRPr="006C7E3D">
              <w:rPr>
                <w:rFonts w:ascii="Times New Roman" w:eastAsia="Times New Roman" w:hAnsi="Times New Roman" w:cs="Times New Roman"/>
                <w:b/>
                <w:sz w:val="24"/>
                <w:szCs w:val="24"/>
              </w:rPr>
              <w:t xml:space="preserve">Umur  Pasien  </w:t>
            </w:r>
          </w:p>
        </w:tc>
        <w:tc>
          <w:tcPr>
            <w:tcW w:w="1229" w:type="dxa"/>
            <w:tcBorders>
              <w:top w:val="single" w:sz="4" w:space="0" w:color="000000"/>
              <w:left w:val="nil"/>
              <w:bottom w:val="single" w:sz="4" w:space="0" w:color="000000"/>
              <w:right w:val="nil"/>
            </w:tcBorders>
          </w:tcPr>
          <w:p w14:paraId="45CE0243" w14:textId="77777777" w:rsidR="00C77FA1" w:rsidRPr="006C7E3D" w:rsidRDefault="00C77FA1" w:rsidP="006C7E3D">
            <w:pPr>
              <w:spacing w:line="276" w:lineRule="auto"/>
              <w:ind w:left="53" w:hanging="53"/>
              <w:jc w:val="both"/>
              <w:rPr>
                <w:rFonts w:ascii="Times New Roman" w:hAnsi="Times New Roman" w:cs="Times New Roman"/>
                <w:sz w:val="24"/>
                <w:szCs w:val="24"/>
              </w:rPr>
            </w:pPr>
            <w:r w:rsidRPr="006C7E3D">
              <w:rPr>
                <w:rFonts w:ascii="Times New Roman" w:eastAsia="Times New Roman" w:hAnsi="Times New Roman" w:cs="Times New Roman"/>
                <w:b/>
                <w:sz w:val="24"/>
                <w:szCs w:val="24"/>
              </w:rPr>
              <w:t xml:space="preserve">Jumlah  pasien  </w:t>
            </w:r>
          </w:p>
        </w:tc>
        <w:tc>
          <w:tcPr>
            <w:tcW w:w="1210" w:type="dxa"/>
            <w:tcBorders>
              <w:top w:val="single" w:sz="4" w:space="0" w:color="000000"/>
              <w:left w:val="nil"/>
              <w:bottom w:val="single" w:sz="4" w:space="0" w:color="000000"/>
              <w:right w:val="nil"/>
            </w:tcBorders>
          </w:tcPr>
          <w:p w14:paraId="0B39AC92" w14:textId="77777777" w:rsidR="00C77FA1" w:rsidRPr="006C7E3D" w:rsidRDefault="00C77FA1" w:rsidP="006C7E3D">
            <w:pPr>
              <w:spacing w:line="276" w:lineRule="auto"/>
              <w:ind w:left="317" w:hanging="317"/>
              <w:jc w:val="both"/>
              <w:rPr>
                <w:rFonts w:ascii="Times New Roman" w:hAnsi="Times New Roman" w:cs="Times New Roman"/>
                <w:sz w:val="24"/>
                <w:szCs w:val="24"/>
              </w:rPr>
            </w:pPr>
            <w:r w:rsidRPr="006C7E3D">
              <w:rPr>
                <w:rFonts w:ascii="Times New Roman" w:eastAsia="Times New Roman" w:hAnsi="Times New Roman" w:cs="Times New Roman"/>
                <w:b/>
                <w:sz w:val="24"/>
                <w:szCs w:val="24"/>
              </w:rPr>
              <w:t xml:space="preserve">Persentase (%)  </w:t>
            </w:r>
          </w:p>
        </w:tc>
      </w:tr>
      <w:tr w:rsidR="00C77FA1" w:rsidRPr="006C7E3D" w14:paraId="0FD35BA1" w14:textId="77777777">
        <w:trPr>
          <w:trHeight w:val="342"/>
        </w:trPr>
        <w:tc>
          <w:tcPr>
            <w:tcW w:w="1721" w:type="dxa"/>
            <w:tcBorders>
              <w:top w:val="single" w:sz="4" w:space="0" w:color="000000"/>
              <w:left w:val="nil"/>
              <w:bottom w:val="nil"/>
              <w:right w:val="nil"/>
            </w:tcBorders>
          </w:tcPr>
          <w:p w14:paraId="4EFB1FFF" w14:textId="77777777" w:rsidR="00C77FA1" w:rsidRPr="006C7E3D" w:rsidRDefault="00C77FA1" w:rsidP="006C7E3D">
            <w:pPr>
              <w:spacing w:line="276" w:lineRule="auto"/>
              <w:ind w:left="295"/>
              <w:jc w:val="both"/>
              <w:rPr>
                <w:rFonts w:ascii="Times New Roman" w:hAnsi="Times New Roman" w:cs="Times New Roman"/>
                <w:sz w:val="24"/>
                <w:szCs w:val="24"/>
              </w:rPr>
            </w:pPr>
            <w:r w:rsidRPr="006C7E3D">
              <w:rPr>
                <w:rFonts w:ascii="Times New Roman" w:hAnsi="Times New Roman" w:cs="Times New Roman"/>
                <w:sz w:val="24"/>
                <w:szCs w:val="24"/>
              </w:rPr>
              <w:t xml:space="preserve">&lt; 6 bulan  </w:t>
            </w:r>
          </w:p>
        </w:tc>
        <w:tc>
          <w:tcPr>
            <w:tcW w:w="1229" w:type="dxa"/>
            <w:tcBorders>
              <w:top w:val="single" w:sz="4" w:space="0" w:color="000000"/>
              <w:left w:val="nil"/>
              <w:bottom w:val="nil"/>
              <w:right w:val="nil"/>
            </w:tcBorders>
          </w:tcPr>
          <w:p w14:paraId="1307696F" w14:textId="77777777" w:rsidR="00C77FA1" w:rsidRPr="006C7E3D" w:rsidRDefault="00C77FA1" w:rsidP="006C7E3D">
            <w:pPr>
              <w:spacing w:line="276" w:lineRule="auto"/>
              <w:ind w:left="242"/>
              <w:jc w:val="both"/>
              <w:rPr>
                <w:rFonts w:ascii="Times New Roman" w:hAnsi="Times New Roman" w:cs="Times New Roman"/>
                <w:sz w:val="24"/>
                <w:szCs w:val="24"/>
              </w:rPr>
            </w:pPr>
            <w:r w:rsidRPr="006C7E3D">
              <w:rPr>
                <w:rFonts w:ascii="Times New Roman" w:hAnsi="Times New Roman" w:cs="Times New Roman"/>
                <w:sz w:val="24"/>
                <w:szCs w:val="24"/>
              </w:rPr>
              <w:t xml:space="preserve">13  </w:t>
            </w:r>
          </w:p>
        </w:tc>
        <w:tc>
          <w:tcPr>
            <w:tcW w:w="1210" w:type="dxa"/>
            <w:tcBorders>
              <w:top w:val="single" w:sz="4" w:space="0" w:color="000000"/>
              <w:left w:val="nil"/>
              <w:bottom w:val="nil"/>
              <w:right w:val="nil"/>
            </w:tcBorders>
          </w:tcPr>
          <w:p w14:paraId="1E647B1A" w14:textId="77777777" w:rsidR="00C77FA1" w:rsidRPr="006C7E3D" w:rsidRDefault="00C77FA1" w:rsidP="006C7E3D">
            <w:pPr>
              <w:spacing w:line="276" w:lineRule="auto"/>
              <w:ind w:left="310"/>
              <w:jc w:val="both"/>
              <w:rPr>
                <w:rFonts w:ascii="Times New Roman" w:hAnsi="Times New Roman" w:cs="Times New Roman"/>
                <w:sz w:val="24"/>
                <w:szCs w:val="24"/>
              </w:rPr>
            </w:pPr>
            <w:r w:rsidRPr="006C7E3D">
              <w:rPr>
                <w:rFonts w:ascii="Times New Roman" w:hAnsi="Times New Roman" w:cs="Times New Roman"/>
                <w:sz w:val="24"/>
                <w:szCs w:val="24"/>
              </w:rPr>
              <w:t xml:space="preserve">5,96  </w:t>
            </w:r>
          </w:p>
        </w:tc>
      </w:tr>
      <w:tr w:rsidR="00C77FA1" w:rsidRPr="006C7E3D" w14:paraId="707F3C6A" w14:textId="77777777">
        <w:trPr>
          <w:trHeight w:val="311"/>
        </w:trPr>
        <w:tc>
          <w:tcPr>
            <w:tcW w:w="1721" w:type="dxa"/>
            <w:tcBorders>
              <w:top w:val="nil"/>
              <w:left w:val="nil"/>
              <w:bottom w:val="nil"/>
              <w:right w:val="nil"/>
            </w:tcBorders>
          </w:tcPr>
          <w:p w14:paraId="3A6EF865" w14:textId="77777777" w:rsidR="00C77FA1" w:rsidRPr="006C7E3D" w:rsidRDefault="00C77FA1" w:rsidP="006C7E3D">
            <w:pPr>
              <w:spacing w:line="276" w:lineRule="auto"/>
              <w:ind w:left="182"/>
              <w:jc w:val="both"/>
              <w:rPr>
                <w:rFonts w:ascii="Times New Roman" w:hAnsi="Times New Roman" w:cs="Times New Roman"/>
                <w:sz w:val="24"/>
                <w:szCs w:val="24"/>
              </w:rPr>
            </w:pPr>
            <w:r w:rsidRPr="006C7E3D">
              <w:rPr>
                <w:rFonts w:ascii="Times New Roman" w:hAnsi="Times New Roman" w:cs="Times New Roman"/>
                <w:sz w:val="24"/>
                <w:szCs w:val="24"/>
              </w:rPr>
              <w:t xml:space="preserve">6 - 12 bulan  </w:t>
            </w:r>
          </w:p>
        </w:tc>
        <w:tc>
          <w:tcPr>
            <w:tcW w:w="1229" w:type="dxa"/>
            <w:tcBorders>
              <w:top w:val="nil"/>
              <w:left w:val="nil"/>
              <w:bottom w:val="nil"/>
              <w:right w:val="nil"/>
            </w:tcBorders>
          </w:tcPr>
          <w:p w14:paraId="4E3C0A6A" w14:textId="77777777" w:rsidR="00C77FA1" w:rsidRPr="006C7E3D" w:rsidRDefault="00C77FA1" w:rsidP="006C7E3D">
            <w:pPr>
              <w:spacing w:line="276" w:lineRule="auto"/>
              <w:ind w:left="242"/>
              <w:jc w:val="both"/>
              <w:rPr>
                <w:rFonts w:ascii="Times New Roman" w:hAnsi="Times New Roman" w:cs="Times New Roman"/>
                <w:sz w:val="24"/>
                <w:szCs w:val="24"/>
              </w:rPr>
            </w:pPr>
            <w:r w:rsidRPr="006C7E3D">
              <w:rPr>
                <w:rFonts w:ascii="Times New Roman" w:hAnsi="Times New Roman" w:cs="Times New Roman"/>
                <w:sz w:val="24"/>
                <w:szCs w:val="24"/>
              </w:rPr>
              <w:t xml:space="preserve">33  </w:t>
            </w:r>
          </w:p>
        </w:tc>
        <w:tc>
          <w:tcPr>
            <w:tcW w:w="1210" w:type="dxa"/>
            <w:tcBorders>
              <w:top w:val="nil"/>
              <w:left w:val="nil"/>
              <w:bottom w:val="nil"/>
              <w:right w:val="nil"/>
            </w:tcBorders>
          </w:tcPr>
          <w:p w14:paraId="70686889" w14:textId="77777777" w:rsidR="00C77FA1" w:rsidRPr="006C7E3D" w:rsidRDefault="00C77FA1" w:rsidP="006C7E3D">
            <w:pPr>
              <w:spacing w:line="276" w:lineRule="auto"/>
              <w:ind w:left="254"/>
              <w:jc w:val="both"/>
              <w:rPr>
                <w:rFonts w:ascii="Times New Roman" w:hAnsi="Times New Roman" w:cs="Times New Roman"/>
                <w:sz w:val="24"/>
                <w:szCs w:val="24"/>
              </w:rPr>
            </w:pPr>
            <w:r w:rsidRPr="006C7E3D">
              <w:rPr>
                <w:rFonts w:ascii="Times New Roman" w:hAnsi="Times New Roman" w:cs="Times New Roman"/>
                <w:sz w:val="24"/>
                <w:szCs w:val="24"/>
              </w:rPr>
              <w:t xml:space="preserve">15,14  </w:t>
            </w:r>
          </w:p>
        </w:tc>
      </w:tr>
      <w:tr w:rsidR="00C77FA1" w:rsidRPr="006C7E3D" w14:paraId="37F53EF9" w14:textId="77777777">
        <w:trPr>
          <w:trHeight w:val="311"/>
        </w:trPr>
        <w:tc>
          <w:tcPr>
            <w:tcW w:w="1721" w:type="dxa"/>
            <w:tcBorders>
              <w:top w:val="nil"/>
              <w:left w:val="nil"/>
              <w:bottom w:val="nil"/>
              <w:right w:val="nil"/>
            </w:tcBorders>
          </w:tcPr>
          <w:p w14:paraId="5C3D9708" w14:textId="77777777" w:rsidR="00C77FA1" w:rsidRPr="006C7E3D" w:rsidRDefault="00C77FA1" w:rsidP="006C7E3D">
            <w:pPr>
              <w:spacing w:line="276" w:lineRule="auto"/>
              <w:ind w:left="238"/>
              <w:jc w:val="both"/>
              <w:rPr>
                <w:rFonts w:ascii="Times New Roman" w:hAnsi="Times New Roman" w:cs="Times New Roman"/>
                <w:sz w:val="24"/>
                <w:szCs w:val="24"/>
              </w:rPr>
            </w:pPr>
            <w:r w:rsidRPr="006C7E3D">
              <w:rPr>
                <w:rFonts w:ascii="Times New Roman" w:hAnsi="Times New Roman" w:cs="Times New Roman"/>
                <w:sz w:val="24"/>
                <w:szCs w:val="24"/>
              </w:rPr>
              <w:t xml:space="preserve">1 - 3 tahun  </w:t>
            </w:r>
          </w:p>
        </w:tc>
        <w:tc>
          <w:tcPr>
            <w:tcW w:w="1229" w:type="dxa"/>
            <w:tcBorders>
              <w:top w:val="nil"/>
              <w:left w:val="nil"/>
              <w:bottom w:val="nil"/>
              <w:right w:val="nil"/>
            </w:tcBorders>
          </w:tcPr>
          <w:p w14:paraId="41D7F6BB" w14:textId="77777777" w:rsidR="00C77FA1" w:rsidRPr="006C7E3D" w:rsidRDefault="00C77FA1" w:rsidP="006C7E3D">
            <w:pPr>
              <w:spacing w:line="276" w:lineRule="auto"/>
              <w:ind w:left="187"/>
              <w:jc w:val="both"/>
              <w:rPr>
                <w:rFonts w:ascii="Times New Roman" w:hAnsi="Times New Roman" w:cs="Times New Roman"/>
                <w:sz w:val="24"/>
                <w:szCs w:val="24"/>
              </w:rPr>
            </w:pPr>
            <w:r w:rsidRPr="006C7E3D">
              <w:rPr>
                <w:rFonts w:ascii="Times New Roman" w:hAnsi="Times New Roman" w:cs="Times New Roman"/>
                <w:sz w:val="24"/>
                <w:szCs w:val="24"/>
              </w:rPr>
              <w:t xml:space="preserve">103  </w:t>
            </w:r>
          </w:p>
        </w:tc>
        <w:tc>
          <w:tcPr>
            <w:tcW w:w="1210" w:type="dxa"/>
            <w:tcBorders>
              <w:top w:val="nil"/>
              <w:left w:val="nil"/>
              <w:bottom w:val="nil"/>
              <w:right w:val="nil"/>
            </w:tcBorders>
          </w:tcPr>
          <w:p w14:paraId="15214232" w14:textId="77777777" w:rsidR="00C77FA1" w:rsidRPr="006C7E3D" w:rsidRDefault="00C77FA1" w:rsidP="006C7E3D">
            <w:pPr>
              <w:spacing w:line="276" w:lineRule="auto"/>
              <w:ind w:left="254"/>
              <w:jc w:val="both"/>
              <w:rPr>
                <w:rFonts w:ascii="Times New Roman" w:hAnsi="Times New Roman" w:cs="Times New Roman"/>
                <w:sz w:val="24"/>
                <w:szCs w:val="24"/>
              </w:rPr>
            </w:pPr>
            <w:r w:rsidRPr="006C7E3D">
              <w:rPr>
                <w:rFonts w:ascii="Times New Roman" w:hAnsi="Times New Roman" w:cs="Times New Roman"/>
                <w:sz w:val="24"/>
                <w:szCs w:val="24"/>
              </w:rPr>
              <w:t xml:space="preserve">47,25  </w:t>
            </w:r>
          </w:p>
        </w:tc>
      </w:tr>
      <w:tr w:rsidR="00C77FA1" w:rsidRPr="006C7E3D" w14:paraId="48A4F8CA" w14:textId="77777777">
        <w:trPr>
          <w:trHeight w:val="287"/>
        </w:trPr>
        <w:tc>
          <w:tcPr>
            <w:tcW w:w="1721" w:type="dxa"/>
            <w:tcBorders>
              <w:top w:val="nil"/>
              <w:left w:val="nil"/>
              <w:bottom w:val="single" w:sz="4" w:space="0" w:color="000000"/>
              <w:right w:val="nil"/>
            </w:tcBorders>
          </w:tcPr>
          <w:p w14:paraId="567DA2E2" w14:textId="77777777" w:rsidR="00C77FA1" w:rsidRPr="006C7E3D" w:rsidRDefault="00C77FA1" w:rsidP="006C7E3D">
            <w:pPr>
              <w:spacing w:line="276" w:lineRule="auto"/>
              <w:ind w:left="238"/>
              <w:jc w:val="both"/>
              <w:rPr>
                <w:rFonts w:ascii="Times New Roman" w:hAnsi="Times New Roman" w:cs="Times New Roman"/>
                <w:sz w:val="24"/>
                <w:szCs w:val="24"/>
              </w:rPr>
            </w:pPr>
            <w:r w:rsidRPr="006C7E3D">
              <w:rPr>
                <w:rFonts w:ascii="Times New Roman" w:hAnsi="Times New Roman" w:cs="Times New Roman"/>
                <w:sz w:val="24"/>
                <w:szCs w:val="24"/>
              </w:rPr>
              <w:t xml:space="preserve">4 - 5 tahun  </w:t>
            </w:r>
          </w:p>
        </w:tc>
        <w:tc>
          <w:tcPr>
            <w:tcW w:w="1229" w:type="dxa"/>
            <w:tcBorders>
              <w:top w:val="nil"/>
              <w:left w:val="nil"/>
              <w:bottom w:val="single" w:sz="4" w:space="0" w:color="000000"/>
              <w:right w:val="nil"/>
            </w:tcBorders>
          </w:tcPr>
          <w:p w14:paraId="2CDE9C6F" w14:textId="77777777" w:rsidR="00C77FA1" w:rsidRPr="006C7E3D" w:rsidRDefault="00C77FA1" w:rsidP="006C7E3D">
            <w:pPr>
              <w:spacing w:line="276" w:lineRule="auto"/>
              <w:ind w:left="242"/>
              <w:jc w:val="both"/>
              <w:rPr>
                <w:rFonts w:ascii="Times New Roman" w:hAnsi="Times New Roman" w:cs="Times New Roman"/>
                <w:sz w:val="24"/>
                <w:szCs w:val="24"/>
              </w:rPr>
            </w:pPr>
            <w:r w:rsidRPr="006C7E3D">
              <w:rPr>
                <w:rFonts w:ascii="Times New Roman" w:hAnsi="Times New Roman" w:cs="Times New Roman"/>
                <w:sz w:val="24"/>
                <w:szCs w:val="24"/>
              </w:rPr>
              <w:t xml:space="preserve">69  </w:t>
            </w:r>
          </w:p>
        </w:tc>
        <w:tc>
          <w:tcPr>
            <w:tcW w:w="1210" w:type="dxa"/>
            <w:tcBorders>
              <w:top w:val="nil"/>
              <w:left w:val="nil"/>
              <w:bottom w:val="single" w:sz="4" w:space="0" w:color="000000"/>
              <w:right w:val="nil"/>
            </w:tcBorders>
          </w:tcPr>
          <w:p w14:paraId="73240A1D" w14:textId="77777777" w:rsidR="00C77FA1" w:rsidRPr="006C7E3D" w:rsidRDefault="00C77FA1" w:rsidP="006C7E3D">
            <w:pPr>
              <w:spacing w:line="276" w:lineRule="auto"/>
              <w:ind w:left="254"/>
              <w:jc w:val="both"/>
              <w:rPr>
                <w:rFonts w:ascii="Times New Roman" w:hAnsi="Times New Roman" w:cs="Times New Roman"/>
                <w:sz w:val="24"/>
                <w:szCs w:val="24"/>
              </w:rPr>
            </w:pPr>
            <w:r w:rsidRPr="006C7E3D">
              <w:rPr>
                <w:rFonts w:ascii="Times New Roman" w:hAnsi="Times New Roman" w:cs="Times New Roman"/>
                <w:sz w:val="24"/>
                <w:szCs w:val="24"/>
              </w:rPr>
              <w:t xml:space="preserve">31,65  </w:t>
            </w:r>
          </w:p>
        </w:tc>
      </w:tr>
      <w:tr w:rsidR="00C77FA1" w:rsidRPr="006C7E3D" w14:paraId="14FD7E9C" w14:textId="77777777">
        <w:trPr>
          <w:trHeight w:val="322"/>
        </w:trPr>
        <w:tc>
          <w:tcPr>
            <w:tcW w:w="1721" w:type="dxa"/>
            <w:tcBorders>
              <w:top w:val="single" w:sz="4" w:space="0" w:color="000000"/>
              <w:left w:val="nil"/>
              <w:bottom w:val="single" w:sz="4" w:space="0" w:color="000000"/>
              <w:right w:val="nil"/>
            </w:tcBorders>
          </w:tcPr>
          <w:p w14:paraId="7BE939C4" w14:textId="77777777" w:rsidR="00C77FA1" w:rsidRPr="006C7E3D" w:rsidRDefault="00C77FA1" w:rsidP="006C7E3D">
            <w:pPr>
              <w:spacing w:line="276" w:lineRule="auto"/>
              <w:ind w:left="461"/>
              <w:jc w:val="both"/>
              <w:rPr>
                <w:rFonts w:ascii="Times New Roman" w:hAnsi="Times New Roman" w:cs="Times New Roman"/>
                <w:sz w:val="24"/>
                <w:szCs w:val="24"/>
              </w:rPr>
            </w:pPr>
            <w:r w:rsidRPr="006C7E3D">
              <w:rPr>
                <w:rFonts w:ascii="Times New Roman" w:eastAsia="Times New Roman" w:hAnsi="Times New Roman" w:cs="Times New Roman"/>
                <w:b/>
                <w:sz w:val="24"/>
                <w:szCs w:val="24"/>
              </w:rPr>
              <w:t xml:space="preserve">Total  </w:t>
            </w:r>
          </w:p>
        </w:tc>
        <w:tc>
          <w:tcPr>
            <w:tcW w:w="1229" w:type="dxa"/>
            <w:tcBorders>
              <w:top w:val="single" w:sz="4" w:space="0" w:color="000000"/>
              <w:left w:val="nil"/>
              <w:bottom w:val="single" w:sz="4" w:space="0" w:color="000000"/>
              <w:right w:val="nil"/>
            </w:tcBorders>
          </w:tcPr>
          <w:p w14:paraId="3D5A12FB" w14:textId="77777777" w:rsidR="00C77FA1" w:rsidRPr="006C7E3D" w:rsidRDefault="00C77FA1" w:rsidP="006C7E3D">
            <w:pPr>
              <w:spacing w:line="276" w:lineRule="auto"/>
              <w:ind w:left="187"/>
              <w:jc w:val="both"/>
              <w:rPr>
                <w:rFonts w:ascii="Times New Roman" w:hAnsi="Times New Roman" w:cs="Times New Roman"/>
                <w:sz w:val="24"/>
                <w:szCs w:val="24"/>
              </w:rPr>
            </w:pPr>
            <w:r w:rsidRPr="006C7E3D">
              <w:rPr>
                <w:rFonts w:ascii="Times New Roman" w:hAnsi="Times New Roman" w:cs="Times New Roman"/>
                <w:sz w:val="24"/>
                <w:szCs w:val="24"/>
              </w:rPr>
              <w:t xml:space="preserve">218  </w:t>
            </w:r>
          </w:p>
        </w:tc>
        <w:tc>
          <w:tcPr>
            <w:tcW w:w="1210" w:type="dxa"/>
            <w:tcBorders>
              <w:top w:val="single" w:sz="4" w:space="0" w:color="000000"/>
              <w:left w:val="nil"/>
              <w:bottom w:val="single" w:sz="4" w:space="0" w:color="000000"/>
              <w:right w:val="nil"/>
            </w:tcBorders>
          </w:tcPr>
          <w:p w14:paraId="43970DE9" w14:textId="77777777" w:rsidR="00C77FA1" w:rsidRPr="006C7E3D" w:rsidRDefault="00C77FA1" w:rsidP="006C7E3D">
            <w:pPr>
              <w:spacing w:line="276" w:lineRule="auto"/>
              <w:ind w:left="336"/>
              <w:jc w:val="both"/>
              <w:rPr>
                <w:rFonts w:ascii="Times New Roman" w:hAnsi="Times New Roman" w:cs="Times New Roman"/>
                <w:sz w:val="24"/>
                <w:szCs w:val="24"/>
              </w:rPr>
            </w:pPr>
            <w:r w:rsidRPr="006C7E3D">
              <w:rPr>
                <w:rFonts w:ascii="Times New Roman" w:hAnsi="Times New Roman" w:cs="Times New Roman"/>
                <w:sz w:val="24"/>
                <w:szCs w:val="24"/>
              </w:rPr>
              <w:t xml:space="preserve">100  </w:t>
            </w:r>
          </w:p>
        </w:tc>
      </w:tr>
    </w:tbl>
    <w:p w14:paraId="5BEEEDC7" w14:textId="77777777" w:rsidR="00C77FA1" w:rsidRPr="006C7E3D" w:rsidRDefault="00C77FA1" w:rsidP="006C7E3D">
      <w:pPr>
        <w:spacing w:after="198"/>
        <w:ind w:left="156" w:right="-15"/>
        <w:jc w:val="both"/>
        <w:rPr>
          <w:rFonts w:cs="Times New Roman"/>
          <w:szCs w:val="24"/>
        </w:rPr>
      </w:pPr>
      <w:r w:rsidRPr="006C7E3D">
        <w:rPr>
          <w:rFonts w:cs="Times New Roman"/>
          <w:szCs w:val="24"/>
        </w:rPr>
        <w:t xml:space="preserve">Tabel 1 Karakteristik Pasien Berdasarkan Umur Berdasarkan table 1 didapatkan data karakteristik subjek penelitian berdasakan umur balita 1-3 dan 4-5 tahun lebih banyak terdiagnosa penyakit ISPA non pneumonia sebanyak 103 pasien dengan persentase 5,96% dan 69 dengan persentase 31,65%. Hal tersebut dapat disebabkan karena pasien balita lebih mudah terkena penyakit ISPA Non Pneumonia dibandingkan orang dewasa, karena sistem pertahanan tubuh balita belum kuat sehingga dapat mempengaruhi kondisi balita yang lemah dan proses penyebaran penyakit ISPA yang menjadi lebih cepat. Untuk kriteria umur 0-&lt;6 bulan sebanyak 13 dengan persentase 5,96% dan 612 bulan sebanyak 33 dengan persentase 47,25%. Hasil yang terkecil pada 2 kriteria tersebut besar kemungkinan disebabkan karena balita masih pengawasan orang tua dan tentu masih mendapatkan ASI Ekslusif, hal ini dapat mempengaruhi kekebalan tubuh balita terhadap kuman dan penyakit. Dimana balita yang mendapatkan ASI Ekslusif, maka sistem daya tahan tubuh akan menjadi lebih baik. Sistem kekebalan tubuh yang memiliki bayi baru lahir sangat terbatas dan akan berkembang sesuai dengan meningkatkan paparan mikroorganisme didalam saluran pencernaannya.  </w:t>
      </w:r>
    </w:p>
    <w:p w14:paraId="7824D397" w14:textId="77777777" w:rsidR="00C77FA1" w:rsidRPr="006C7E3D" w:rsidRDefault="00C77FA1" w:rsidP="006C7E3D">
      <w:pPr>
        <w:spacing w:after="195"/>
        <w:ind w:firstLine="720"/>
        <w:jc w:val="both"/>
        <w:rPr>
          <w:rFonts w:cs="Times New Roman"/>
          <w:szCs w:val="24"/>
        </w:rPr>
      </w:pPr>
      <w:r w:rsidRPr="006C7E3D">
        <w:rPr>
          <w:rFonts w:cs="Times New Roman"/>
          <w:szCs w:val="24"/>
        </w:rPr>
        <w:lastRenderedPageBreak/>
        <w:t xml:space="preserve">Berbagai peneliti juga melaporkan bahwa ASI sangat baik untuk kesehatan bayi dan mendukung pertumbuhan serta perkembangan bayi secara optimal. Bayi yang diberi ASI Ekslusif akan memperoleh seluruh kelebihan ASI serta terpenuhi kebutuhan gizinya secara maksimal sehungga bagi kan lebih sehat, lebih tahan terhadap bakteri, tidak mudah terkena alergi dan lebih jarang sakit [5]. </w:t>
      </w:r>
    </w:p>
    <w:p w14:paraId="37D64210" w14:textId="77777777" w:rsidR="00C77FA1" w:rsidRPr="006C7E3D" w:rsidRDefault="00C77FA1" w:rsidP="006C7E3D">
      <w:pPr>
        <w:spacing w:after="212"/>
        <w:ind w:left="1889" w:hanging="1606"/>
        <w:jc w:val="both"/>
        <w:rPr>
          <w:rFonts w:cs="Times New Roman"/>
          <w:szCs w:val="24"/>
        </w:rPr>
      </w:pPr>
      <w:r w:rsidRPr="006C7E3D">
        <w:rPr>
          <w:rFonts w:cs="Times New Roman"/>
          <w:szCs w:val="24"/>
        </w:rPr>
        <w:t xml:space="preserve">Tabel 2 Karakteristik Pasien Berdarkan Jenis Kelamin </w:t>
      </w:r>
    </w:p>
    <w:tbl>
      <w:tblPr>
        <w:tblStyle w:val="TableGrid"/>
        <w:tblW w:w="4393" w:type="dxa"/>
        <w:tblInd w:w="65" w:type="dxa"/>
        <w:tblCellMar>
          <w:right w:w="115" w:type="dxa"/>
        </w:tblCellMar>
        <w:tblLook w:val="04A0" w:firstRow="1" w:lastRow="0" w:firstColumn="1" w:lastColumn="0" w:noHBand="0" w:noVBand="1"/>
      </w:tblPr>
      <w:tblGrid>
        <w:gridCol w:w="1771"/>
        <w:gridCol w:w="1359"/>
        <w:gridCol w:w="1263"/>
      </w:tblGrid>
      <w:tr w:rsidR="00C77FA1" w:rsidRPr="006C7E3D" w14:paraId="1B887D9E" w14:textId="77777777">
        <w:trPr>
          <w:trHeight w:val="514"/>
        </w:trPr>
        <w:tc>
          <w:tcPr>
            <w:tcW w:w="1771" w:type="dxa"/>
            <w:tcBorders>
              <w:top w:val="single" w:sz="4" w:space="0" w:color="000000"/>
              <w:left w:val="nil"/>
              <w:bottom w:val="single" w:sz="4" w:space="0" w:color="000000"/>
              <w:right w:val="nil"/>
            </w:tcBorders>
          </w:tcPr>
          <w:p w14:paraId="31B1438B" w14:textId="77777777" w:rsidR="00C77FA1" w:rsidRPr="006C7E3D" w:rsidRDefault="00C77FA1" w:rsidP="006C7E3D">
            <w:pPr>
              <w:spacing w:line="276" w:lineRule="auto"/>
              <w:ind w:left="341" w:firstLine="139"/>
              <w:jc w:val="both"/>
              <w:rPr>
                <w:rFonts w:ascii="Times New Roman" w:hAnsi="Times New Roman" w:cs="Times New Roman"/>
                <w:sz w:val="24"/>
                <w:szCs w:val="24"/>
              </w:rPr>
            </w:pPr>
            <w:r w:rsidRPr="006C7E3D">
              <w:rPr>
                <w:rFonts w:ascii="Times New Roman" w:eastAsia="Times New Roman" w:hAnsi="Times New Roman" w:cs="Times New Roman"/>
                <w:b/>
                <w:sz w:val="24"/>
                <w:szCs w:val="24"/>
              </w:rPr>
              <w:t xml:space="preserve">Jenis kelamin  </w:t>
            </w:r>
          </w:p>
        </w:tc>
        <w:tc>
          <w:tcPr>
            <w:tcW w:w="1359" w:type="dxa"/>
            <w:tcBorders>
              <w:top w:val="single" w:sz="4" w:space="0" w:color="000000"/>
              <w:left w:val="nil"/>
              <w:bottom w:val="single" w:sz="4" w:space="0" w:color="000000"/>
              <w:right w:val="nil"/>
            </w:tcBorders>
          </w:tcPr>
          <w:p w14:paraId="7878FC44" w14:textId="77777777" w:rsidR="00C77FA1" w:rsidRPr="006C7E3D" w:rsidRDefault="00C77FA1" w:rsidP="006C7E3D">
            <w:pPr>
              <w:ind w:left="24"/>
              <w:jc w:val="both"/>
              <w:rPr>
                <w:rFonts w:ascii="Times New Roman" w:hAnsi="Times New Roman" w:cs="Times New Roman"/>
                <w:sz w:val="24"/>
                <w:szCs w:val="24"/>
              </w:rPr>
            </w:pPr>
            <w:r w:rsidRPr="006C7E3D">
              <w:rPr>
                <w:rFonts w:ascii="Times New Roman" w:eastAsia="Times New Roman" w:hAnsi="Times New Roman" w:cs="Times New Roman"/>
                <w:b/>
                <w:sz w:val="24"/>
                <w:szCs w:val="24"/>
              </w:rPr>
              <w:t xml:space="preserve">Jumlah </w:t>
            </w:r>
          </w:p>
          <w:p w14:paraId="5472B590" w14:textId="77777777" w:rsidR="00C77FA1" w:rsidRPr="006C7E3D" w:rsidRDefault="00C77FA1" w:rsidP="006C7E3D">
            <w:pPr>
              <w:spacing w:line="276" w:lineRule="auto"/>
              <w:jc w:val="both"/>
              <w:rPr>
                <w:rFonts w:ascii="Times New Roman" w:hAnsi="Times New Roman" w:cs="Times New Roman"/>
                <w:sz w:val="24"/>
                <w:szCs w:val="24"/>
              </w:rPr>
            </w:pPr>
            <w:r w:rsidRPr="006C7E3D">
              <w:rPr>
                <w:rFonts w:ascii="Times New Roman" w:eastAsia="Times New Roman" w:hAnsi="Times New Roman" w:cs="Times New Roman"/>
                <w:b/>
                <w:sz w:val="24"/>
                <w:szCs w:val="24"/>
              </w:rPr>
              <w:t xml:space="preserve">(Pasien)  </w:t>
            </w:r>
          </w:p>
        </w:tc>
        <w:tc>
          <w:tcPr>
            <w:tcW w:w="1263" w:type="dxa"/>
            <w:tcBorders>
              <w:top w:val="single" w:sz="4" w:space="0" w:color="000000"/>
              <w:left w:val="nil"/>
              <w:bottom w:val="single" w:sz="4" w:space="0" w:color="000000"/>
              <w:right w:val="nil"/>
            </w:tcBorders>
          </w:tcPr>
          <w:p w14:paraId="4FAC2EB4" w14:textId="77777777" w:rsidR="00C77FA1" w:rsidRPr="006C7E3D" w:rsidRDefault="00C77FA1" w:rsidP="006C7E3D">
            <w:pPr>
              <w:spacing w:line="276" w:lineRule="auto"/>
              <w:ind w:left="317" w:hanging="317"/>
              <w:jc w:val="both"/>
              <w:rPr>
                <w:rFonts w:ascii="Times New Roman" w:hAnsi="Times New Roman" w:cs="Times New Roman"/>
                <w:sz w:val="24"/>
                <w:szCs w:val="24"/>
              </w:rPr>
            </w:pPr>
            <w:r w:rsidRPr="006C7E3D">
              <w:rPr>
                <w:rFonts w:ascii="Times New Roman" w:eastAsia="Times New Roman" w:hAnsi="Times New Roman" w:cs="Times New Roman"/>
                <w:b/>
                <w:sz w:val="24"/>
                <w:szCs w:val="24"/>
              </w:rPr>
              <w:t xml:space="preserve">Persentase  (%)  </w:t>
            </w:r>
          </w:p>
        </w:tc>
      </w:tr>
      <w:tr w:rsidR="00C77FA1" w:rsidRPr="006C7E3D" w14:paraId="5380AEAC" w14:textId="77777777">
        <w:trPr>
          <w:trHeight w:val="384"/>
        </w:trPr>
        <w:tc>
          <w:tcPr>
            <w:tcW w:w="1771" w:type="dxa"/>
            <w:tcBorders>
              <w:top w:val="single" w:sz="4" w:space="0" w:color="000000"/>
              <w:left w:val="nil"/>
              <w:bottom w:val="nil"/>
              <w:right w:val="nil"/>
            </w:tcBorders>
          </w:tcPr>
          <w:p w14:paraId="5E47E226" w14:textId="77777777" w:rsidR="00C77FA1" w:rsidRPr="006C7E3D" w:rsidRDefault="00C77FA1" w:rsidP="006C7E3D">
            <w:pPr>
              <w:spacing w:line="276" w:lineRule="auto"/>
              <w:ind w:left="317"/>
              <w:jc w:val="both"/>
              <w:rPr>
                <w:rFonts w:ascii="Times New Roman" w:hAnsi="Times New Roman" w:cs="Times New Roman"/>
                <w:sz w:val="24"/>
                <w:szCs w:val="24"/>
              </w:rPr>
            </w:pPr>
            <w:r w:rsidRPr="006C7E3D">
              <w:rPr>
                <w:rFonts w:ascii="Times New Roman" w:hAnsi="Times New Roman" w:cs="Times New Roman"/>
                <w:sz w:val="24"/>
                <w:szCs w:val="24"/>
              </w:rPr>
              <w:t xml:space="preserve">Laki-laki  </w:t>
            </w:r>
          </w:p>
        </w:tc>
        <w:tc>
          <w:tcPr>
            <w:tcW w:w="1359" w:type="dxa"/>
            <w:tcBorders>
              <w:top w:val="single" w:sz="4" w:space="0" w:color="000000"/>
              <w:left w:val="nil"/>
              <w:bottom w:val="nil"/>
              <w:right w:val="nil"/>
            </w:tcBorders>
          </w:tcPr>
          <w:p w14:paraId="06BBBE26" w14:textId="77777777" w:rsidR="00C77FA1" w:rsidRPr="006C7E3D" w:rsidRDefault="00C77FA1" w:rsidP="006C7E3D">
            <w:pPr>
              <w:spacing w:line="276" w:lineRule="auto"/>
              <w:ind w:left="214"/>
              <w:jc w:val="both"/>
              <w:rPr>
                <w:rFonts w:ascii="Times New Roman" w:hAnsi="Times New Roman" w:cs="Times New Roman"/>
                <w:sz w:val="24"/>
                <w:szCs w:val="24"/>
              </w:rPr>
            </w:pPr>
            <w:r w:rsidRPr="006C7E3D">
              <w:rPr>
                <w:rFonts w:ascii="Times New Roman" w:hAnsi="Times New Roman" w:cs="Times New Roman"/>
                <w:sz w:val="24"/>
                <w:szCs w:val="24"/>
              </w:rPr>
              <w:t xml:space="preserve">125  </w:t>
            </w:r>
          </w:p>
        </w:tc>
        <w:tc>
          <w:tcPr>
            <w:tcW w:w="1263" w:type="dxa"/>
            <w:tcBorders>
              <w:top w:val="single" w:sz="4" w:space="0" w:color="000000"/>
              <w:left w:val="nil"/>
              <w:bottom w:val="nil"/>
              <w:right w:val="nil"/>
            </w:tcBorders>
          </w:tcPr>
          <w:p w14:paraId="6B7A7252" w14:textId="77777777" w:rsidR="00C77FA1" w:rsidRPr="006C7E3D" w:rsidRDefault="00C77FA1" w:rsidP="006C7E3D">
            <w:pPr>
              <w:spacing w:line="276" w:lineRule="auto"/>
              <w:ind w:left="254"/>
              <w:jc w:val="both"/>
              <w:rPr>
                <w:rFonts w:ascii="Times New Roman" w:hAnsi="Times New Roman" w:cs="Times New Roman"/>
                <w:sz w:val="24"/>
                <w:szCs w:val="24"/>
              </w:rPr>
            </w:pPr>
            <w:r w:rsidRPr="006C7E3D">
              <w:rPr>
                <w:rFonts w:ascii="Times New Roman" w:hAnsi="Times New Roman" w:cs="Times New Roman"/>
                <w:sz w:val="24"/>
                <w:szCs w:val="24"/>
              </w:rPr>
              <w:t xml:space="preserve">57,33  </w:t>
            </w:r>
          </w:p>
        </w:tc>
      </w:tr>
      <w:tr w:rsidR="00C77FA1" w:rsidRPr="006C7E3D" w14:paraId="0CF6B7DF" w14:textId="77777777">
        <w:trPr>
          <w:trHeight w:val="300"/>
        </w:trPr>
        <w:tc>
          <w:tcPr>
            <w:tcW w:w="1771" w:type="dxa"/>
            <w:tcBorders>
              <w:top w:val="nil"/>
              <w:left w:val="nil"/>
              <w:bottom w:val="single" w:sz="4" w:space="0" w:color="000000"/>
              <w:right w:val="nil"/>
            </w:tcBorders>
          </w:tcPr>
          <w:p w14:paraId="0AB9D222" w14:textId="77777777" w:rsidR="00C77FA1" w:rsidRPr="006C7E3D" w:rsidRDefault="00C77FA1" w:rsidP="006C7E3D">
            <w:pPr>
              <w:spacing w:line="276" w:lineRule="auto"/>
              <w:ind w:left="226"/>
              <w:jc w:val="both"/>
              <w:rPr>
                <w:rFonts w:ascii="Times New Roman" w:hAnsi="Times New Roman" w:cs="Times New Roman"/>
                <w:sz w:val="24"/>
                <w:szCs w:val="24"/>
              </w:rPr>
            </w:pPr>
            <w:r w:rsidRPr="006C7E3D">
              <w:rPr>
                <w:rFonts w:ascii="Times New Roman" w:hAnsi="Times New Roman" w:cs="Times New Roman"/>
                <w:sz w:val="24"/>
                <w:szCs w:val="24"/>
              </w:rPr>
              <w:t xml:space="preserve">Perempuan  </w:t>
            </w:r>
          </w:p>
        </w:tc>
        <w:tc>
          <w:tcPr>
            <w:tcW w:w="1359" w:type="dxa"/>
            <w:tcBorders>
              <w:top w:val="nil"/>
              <w:left w:val="nil"/>
              <w:bottom w:val="single" w:sz="4" w:space="0" w:color="000000"/>
              <w:right w:val="nil"/>
            </w:tcBorders>
          </w:tcPr>
          <w:p w14:paraId="15BF0712" w14:textId="77777777" w:rsidR="00C77FA1" w:rsidRPr="006C7E3D" w:rsidRDefault="00C77FA1" w:rsidP="006C7E3D">
            <w:pPr>
              <w:spacing w:line="276" w:lineRule="auto"/>
              <w:ind w:left="269"/>
              <w:jc w:val="both"/>
              <w:rPr>
                <w:rFonts w:ascii="Times New Roman" w:hAnsi="Times New Roman" w:cs="Times New Roman"/>
                <w:sz w:val="24"/>
                <w:szCs w:val="24"/>
              </w:rPr>
            </w:pPr>
            <w:r w:rsidRPr="006C7E3D">
              <w:rPr>
                <w:rFonts w:ascii="Times New Roman" w:hAnsi="Times New Roman" w:cs="Times New Roman"/>
                <w:sz w:val="24"/>
                <w:szCs w:val="24"/>
              </w:rPr>
              <w:t xml:space="preserve">93  </w:t>
            </w:r>
          </w:p>
        </w:tc>
        <w:tc>
          <w:tcPr>
            <w:tcW w:w="1263" w:type="dxa"/>
            <w:tcBorders>
              <w:top w:val="nil"/>
              <w:left w:val="nil"/>
              <w:bottom w:val="single" w:sz="4" w:space="0" w:color="000000"/>
              <w:right w:val="nil"/>
            </w:tcBorders>
          </w:tcPr>
          <w:p w14:paraId="5C7EF12A" w14:textId="77777777" w:rsidR="00C77FA1" w:rsidRPr="006C7E3D" w:rsidRDefault="00C77FA1" w:rsidP="006C7E3D">
            <w:pPr>
              <w:spacing w:line="276" w:lineRule="auto"/>
              <w:ind w:left="254"/>
              <w:jc w:val="both"/>
              <w:rPr>
                <w:rFonts w:ascii="Times New Roman" w:hAnsi="Times New Roman" w:cs="Times New Roman"/>
                <w:sz w:val="24"/>
                <w:szCs w:val="24"/>
              </w:rPr>
            </w:pPr>
            <w:r w:rsidRPr="006C7E3D">
              <w:rPr>
                <w:rFonts w:ascii="Times New Roman" w:hAnsi="Times New Roman" w:cs="Times New Roman"/>
                <w:sz w:val="24"/>
                <w:szCs w:val="24"/>
              </w:rPr>
              <w:t xml:space="preserve">42,66  </w:t>
            </w:r>
          </w:p>
        </w:tc>
      </w:tr>
      <w:tr w:rsidR="00C77FA1" w:rsidRPr="006C7E3D" w14:paraId="1D6A4B44" w14:textId="77777777">
        <w:trPr>
          <w:trHeight w:val="348"/>
        </w:trPr>
        <w:tc>
          <w:tcPr>
            <w:tcW w:w="1771" w:type="dxa"/>
            <w:tcBorders>
              <w:top w:val="single" w:sz="4" w:space="0" w:color="000000"/>
              <w:left w:val="nil"/>
              <w:bottom w:val="single" w:sz="4" w:space="0" w:color="000000"/>
              <w:right w:val="nil"/>
            </w:tcBorders>
          </w:tcPr>
          <w:p w14:paraId="6FF890CB" w14:textId="77777777" w:rsidR="00C77FA1" w:rsidRPr="006C7E3D" w:rsidRDefault="00C77FA1" w:rsidP="006C7E3D">
            <w:pPr>
              <w:spacing w:line="276" w:lineRule="auto"/>
              <w:ind w:left="490"/>
              <w:jc w:val="both"/>
              <w:rPr>
                <w:rFonts w:ascii="Times New Roman" w:hAnsi="Times New Roman" w:cs="Times New Roman"/>
                <w:sz w:val="24"/>
                <w:szCs w:val="24"/>
              </w:rPr>
            </w:pPr>
            <w:r w:rsidRPr="006C7E3D">
              <w:rPr>
                <w:rFonts w:ascii="Times New Roman" w:hAnsi="Times New Roman" w:cs="Times New Roman"/>
                <w:sz w:val="24"/>
                <w:szCs w:val="24"/>
              </w:rPr>
              <w:t xml:space="preserve">Total  </w:t>
            </w:r>
          </w:p>
        </w:tc>
        <w:tc>
          <w:tcPr>
            <w:tcW w:w="1359" w:type="dxa"/>
            <w:tcBorders>
              <w:top w:val="single" w:sz="4" w:space="0" w:color="000000"/>
              <w:left w:val="nil"/>
              <w:bottom w:val="single" w:sz="4" w:space="0" w:color="000000"/>
              <w:right w:val="nil"/>
            </w:tcBorders>
          </w:tcPr>
          <w:p w14:paraId="2DD7B116" w14:textId="77777777" w:rsidR="00C77FA1" w:rsidRPr="006C7E3D" w:rsidRDefault="00C77FA1" w:rsidP="006C7E3D">
            <w:pPr>
              <w:spacing w:line="276" w:lineRule="auto"/>
              <w:ind w:left="214"/>
              <w:jc w:val="both"/>
              <w:rPr>
                <w:rFonts w:ascii="Times New Roman" w:hAnsi="Times New Roman" w:cs="Times New Roman"/>
                <w:sz w:val="24"/>
                <w:szCs w:val="24"/>
              </w:rPr>
            </w:pPr>
            <w:r w:rsidRPr="006C7E3D">
              <w:rPr>
                <w:rFonts w:ascii="Times New Roman" w:hAnsi="Times New Roman" w:cs="Times New Roman"/>
                <w:sz w:val="24"/>
                <w:szCs w:val="24"/>
              </w:rPr>
              <w:t xml:space="preserve">218  </w:t>
            </w:r>
          </w:p>
        </w:tc>
        <w:tc>
          <w:tcPr>
            <w:tcW w:w="1263" w:type="dxa"/>
            <w:tcBorders>
              <w:top w:val="single" w:sz="4" w:space="0" w:color="000000"/>
              <w:left w:val="nil"/>
              <w:bottom w:val="single" w:sz="4" w:space="0" w:color="000000"/>
              <w:right w:val="nil"/>
            </w:tcBorders>
          </w:tcPr>
          <w:p w14:paraId="46B15DDA" w14:textId="77777777" w:rsidR="00C77FA1" w:rsidRPr="006C7E3D" w:rsidRDefault="00C77FA1" w:rsidP="006C7E3D">
            <w:pPr>
              <w:spacing w:line="276" w:lineRule="auto"/>
              <w:ind w:left="336"/>
              <w:jc w:val="both"/>
              <w:rPr>
                <w:rFonts w:ascii="Times New Roman" w:hAnsi="Times New Roman" w:cs="Times New Roman"/>
                <w:sz w:val="24"/>
                <w:szCs w:val="24"/>
              </w:rPr>
            </w:pPr>
            <w:r w:rsidRPr="006C7E3D">
              <w:rPr>
                <w:rFonts w:ascii="Times New Roman" w:hAnsi="Times New Roman" w:cs="Times New Roman"/>
                <w:sz w:val="24"/>
                <w:szCs w:val="24"/>
              </w:rPr>
              <w:t xml:space="preserve">100  </w:t>
            </w:r>
          </w:p>
        </w:tc>
      </w:tr>
    </w:tbl>
    <w:p w14:paraId="12D3C0FD" w14:textId="77777777" w:rsidR="006C7E3D" w:rsidRDefault="006C7E3D" w:rsidP="006C7E3D">
      <w:pPr>
        <w:jc w:val="both"/>
        <w:rPr>
          <w:rFonts w:cs="Times New Roman"/>
          <w:szCs w:val="24"/>
        </w:rPr>
      </w:pPr>
    </w:p>
    <w:p w14:paraId="5F7228FC" w14:textId="693503B3" w:rsidR="00C77FA1" w:rsidRPr="006C7E3D" w:rsidRDefault="00C77FA1" w:rsidP="006C7E3D">
      <w:pPr>
        <w:ind w:firstLine="720"/>
        <w:jc w:val="both"/>
        <w:rPr>
          <w:rFonts w:cs="Times New Roman"/>
          <w:szCs w:val="24"/>
        </w:rPr>
      </w:pPr>
      <w:r w:rsidRPr="006C7E3D">
        <w:rPr>
          <w:rFonts w:cs="Times New Roman"/>
          <w:szCs w:val="24"/>
        </w:rPr>
        <w:t xml:space="preserve">Pada tabel 2 dapat dihat bahwa jumlah terbanyak </w:t>
      </w:r>
      <w:r w:rsidRPr="006C7E3D">
        <w:rPr>
          <w:rFonts w:cs="Times New Roman"/>
          <w:szCs w:val="24"/>
        </w:rPr>
        <w:tab/>
        <w:t xml:space="preserve">penderita </w:t>
      </w:r>
      <w:r w:rsidRPr="006C7E3D">
        <w:rPr>
          <w:rFonts w:cs="Times New Roman"/>
          <w:szCs w:val="24"/>
        </w:rPr>
        <w:tab/>
        <w:t xml:space="preserve">ISPA </w:t>
      </w:r>
      <w:r w:rsidRPr="006C7E3D">
        <w:rPr>
          <w:rFonts w:cs="Times New Roman"/>
          <w:szCs w:val="24"/>
        </w:rPr>
        <w:tab/>
        <w:t>non</w:t>
      </w:r>
      <w:r w:rsidR="006C7E3D">
        <w:rPr>
          <w:rFonts w:cs="Times New Roman"/>
          <w:szCs w:val="24"/>
          <w:lang w:val="en-US"/>
        </w:rPr>
        <w:t xml:space="preserve"> </w:t>
      </w:r>
      <w:r w:rsidRPr="006C7E3D">
        <w:rPr>
          <w:rFonts w:cs="Times New Roman"/>
          <w:szCs w:val="24"/>
        </w:rPr>
        <w:t xml:space="preserve">pneumonia </w:t>
      </w:r>
      <w:r w:rsidR="006C7E3D">
        <w:rPr>
          <w:rFonts w:cs="Times New Roman"/>
          <w:szCs w:val="24"/>
          <w:lang w:val="en-US"/>
        </w:rPr>
        <w:t xml:space="preserve"> </w:t>
      </w:r>
      <w:r w:rsidRPr="006C7E3D">
        <w:rPr>
          <w:rFonts w:cs="Times New Roman"/>
          <w:szCs w:val="24"/>
        </w:rPr>
        <w:t xml:space="preserve">berdasarkan jenis kelamin yaitu jenis kelamin lakilaki sebanyak 125 pasien dengan persentase 57,33%. Sedangkan pasien dengan jenis kelamin perempuan sebanyak 93 pasien dengan persentase 42,67%. Hasil penelitian ini sama dengan hasil penelitian yang dilakukan oleh Lia Khaerunnisa (2020) di Puskesmas Margadana Tegal yang menyatakan bahwa penderita ISPA pada balita banyak ditemukan pada pasien laki-laki yaitu sebesar 51,25% dibandingkan anak perempuan sebesar 48,75% [6] </w:t>
      </w:r>
    </w:p>
    <w:p w14:paraId="399B3246" w14:textId="77777777" w:rsidR="00C77FA1" w:rsidRPr="006C7E3D" w:rsidRDefault="00C77FA1" w:rsidP="006C7E3D">
      <w:pPr>
        <w:spacing w:after="198"/>
        <w:ind w:firstLine="991"/>
        <w:jc w:val="both"/>
        <w:rPr>
          <w:rFonts w:cs="Times New Roman"/>
          <w:szCs w:val="24"/>
        </w:rPr>
      </w:pPr>
      <w:r w:rsidRPr="006C7E3D">
        <w:rPr>
          <w:rFonts w:cs="Times New Roman"/>
          <w:szCs w:val="24"/>
        </w:rPr>
        <w:t xml:space="preserve">Menurut World Organization (WHO) tahun 2017 menyatakan bahwa laki-laki lebih sering mengalami ISPA dibandingkan perempuan. Hal ini dikarenakan adanya perbedaan perilaku dan lingkungan antara laki-laki dan perempuan. Contoh faktor perilaku yang sering terjadi adalah tidak mengenakan masker, membuang  sampah sembarang dan kurangnya budaya cuci tangan. Faktor perilaku ini memperburuk lingkungan seperti halnya pencemaran udara </w:t>
      </w:r>
      <w:r w:rsidRPr="006C7E3D">
        <w:rPr>
          <w:rFonts w:cs="Times New Roman"/>
          <w:szCs w:val="24"/>
        </w:rPr>
        <w:lastRenderedPageBreak/>
        <w:t xml:space="preserve">dalam rumah, ventilasi rumah, kepadatan hunian sehingga menyebabkan kelompok usia balita yang belum mempunyai daya tahan kuat akan mudah terserang penyakit ISPA, selain itu juga dikarenakan aktivitas usia anak ini cenderung tidak mengenal waktu dan tempat serta belum mengerti akan perlindung diri dan masih banyak harus diperhatikan. Jenis kelamin ikut mempengruhi terjadinya paparan agen infeksi dan tatalaksana dari suatu penyakit. Anak laki-laki banyak menghabiskan waktu diluar rumah sehingga resiko kontak dengan agen penyakit lebih tinggi dari pada perempuan. </w:t>
      </w:r>
    </w:p>
    <w:p w14:paraId="11E48265" w14:textId="77777777" w:rsidR="00C77FA1" w:rsidRPr="006C7E3D" w:rsidRDefault="00C77FA1" w:rsidP="006C7E3D">
      <w:pPr>
        <w:spacing w:after="209" w:line="276" w:lineRule="auto"/>
        <w:jc w:val="both"/>
        <w:rPr>
          <w:rFonts w:cs="Times New Roman"/>
          <w:szCs w:val="24"/>
        </w:rPr>
      </w:pPr>
      <w:r w:rsidRPr="006C7E3D">
        <w:rPr>
          <w:rFonts w:cs="Times New Roman"/>
          <w:szCs w:val="24"/>
        </w:rPr>
        <w:t xml:space="preserve">Tabel 3 Karakteristik Pasien Berdasarkan Berat Badan </w:t>
      </w:r>
    </w:p>
    <w:tbl>
      <w:tblPr>
        <w:tblStyle w:val="TableGrid"/>
        <w:tblW w:w="4278" w:type="dxa"/>
        <w:tblInd w:w="115" w:type="dxa"/>
        <w:tblCellMar>
          <w:right w:w="115" w:type="dxa"/>
        </w:tblCellMar>
        <w:tblLook w:val="04A0" w:firstRow="1" w:lastRow="0" w:firstColumn="1" w:lastColumn="0" w:noHBand="0" w:noVBand="1"/>
      </w:tblPr>
      <w:tblGrid>
        <w:gridCol w:w="1863"/>
        <w:gridCol w:w="1207"/>
        <w:gridCol w:w="1208"/>
      </w:tblGrid>
      <w:tr w:rsidR="00C77FA1" w:rsidRPr="006C7E3D" w14:paraId="52713990" w14:textId="77777777">
        <w:trPr>
          <w:trHeight w:val="516"/>
        </w:trPr>
        <w:tc>
          <w:tcPr>
            <w:tcW w:w="1894" w:type="dxa"/>
            <w:tcBorders>
              <w:top w:val="single" w:sz="4" w:space="0" w:color="000000"/>
              <w:left w:val="nil"/>
              <w:bottom w:val="single" w:sz="4" w:space="0" w:color="000000"/>
              <w:right w:val="nil"/>
            </w:tcBorders>
          </w:tcPr>
          <w:p w14:paraId="066B23CD" w14:textId="77777777" w:rsidR="00C77FA1" w:rsidRPr="006C7E3D" w:rsidRDefault="00C77FA1" w:rsidP="006C7E3D">
            <w:pPr>
              <w:spacing w:line="276" w:lineRule="auto"/>
              <w:ind w:left="559" w:hanging="384"/>
              <w:jc w:val="both"/>
              <w:rPr>
                <w:rFonts w:ascii="Times New Roman" w:hAnsi="Times New Roman" w:cs="Times New Roman"/>
                <w:sz w:val="24"/>
                <w:szCs w:val="24"/>
              </w:rPr>
            </w:pPr>
            <w:r w:rsidRPr="006C7E3D">
              <w:rPr>
                <w:rFonts w:ascii="Times New Roman" w:eastAsia="Times New Roman" w:hAnsi="Times New Roman" w:cs="Times New Roman"/>
                <w:b/>
                <w:sz w:val="24"/>
                <w:szCs w:val="24"/>
              </w:rPr>
              <w:t xml:space="preserve">Berat Badan (Kg)  </w:t>
            </w:r>
          </w:p>
        </w:tc>
        <w:tc>
          <w:tcPr>
            <w:tcW w:w="1226" w:type="dxa"/>
            <w:tcBorders>
              <w:top w:val="single" w:sz="4" w:space="0" w:color="000000"/>
              <w:left w:val="nil"/>
              <w:bottom w:val="single" w:sz="4" w:space="0" w:color="000000"/>
              <w:right w:val="nil"/>
            </w:tcBorders>
          </w:tcPr>
          <w:p w14:paraId="57493169" w14:textId="77777777" w:rsidR="00C77FA1" w:rsidRPr="006C7E3D" w:rsidRDefault="00C77FA1" w:rsidP="006C7E3D">
            <w:pPr>
              <w:spacing w:line="276" w:lineRule="auto"/>
              <w:ind w:left="48" w:hanging="48"/>
              <w:jc w:val="both"/>
              <w:rPr>
                <w:rFonts w:ascii="Times New Roman" w:hAnsi="Times New Roman" w:cs="Times New Roman"/>
                <w:sz w:val="24"/>
                <w:szCs w:val="24"/>
              </w:rPr>
            </w:pPr>
            <w:r w:rsidRPr="006C7E3D">
              <w:rPr>
                <w:rFonts w:ascii="Times New Roman" w:eastAsia="Times New Roman" w:hAnsi="Times New Roman" w:cs="Times New Roman"/>
                <w:b/>
                <w:sz w:val="24"/>
                <w:szCs w:val="24"/>
              </w:rPr>
              <w:t xml:space="preserve">Jumlah Pasien  </w:t>
            </w:r>
          </w:p>
        </w:tc>
        <w:tc>
          <w:tcPr>
            <w:tcW w:w="1157" w:type="dxa"/>
            <w:tcBorders>
              <w:top w:val="single" w:sz="4" w:space="0" w:color="000000"/>
              <w:left w:val="nil"/>
              <w:bottom w:val="single" w:sz="4" w:space="0" w:color="000000"/>
              <w:right w:val="nil"/>
            </w:tcBorders>
          </w:tcPr>
          <w:p w14:paraId="2DF95CFE" w14:textId="77777777" w:rsidR="00C77FA1" w:rsidRPr="006C7E3D" w:rsidRDefault="00C77FA1" w:rsidP="006C7E3D">
            <w:pPr>
              <w:spacing w:line="276" w:lineRule="auto"/>
              <w:ind w:left="319" w:hanging="319"/>
              <w:jc w:val="both"/>
              <w:rPr>
                <w:rFonts w:ascii="Times New Roman" w:hAnsi="Times New Roman" w:cs="Times New Roman"/>
                <w:sz w:val="24"/>
                <w:szCs w:val="24"/>
              </w:rPr>
            </w:pPr>
            <w:r w:rsidRPr="006C7E3D">
              <w:rPr>
                <w:rFonts w:ascii="Times New Roman" w:eastAsia="Times New Roman" w:hAnsi="Times New Roman" w:cs="Times New Roman"/>
                <w:b/>
                <w:sz w:val="24"/>
                <w:szCs w:val="24"/>
              </w:rPr>
              <w:t xml:space="preserve">Persentase (%)  </w:t>
            </w:r>
          </w:p>
        </w:tc>
      </w:tr>
      <w:tr w:rsidR="00C77FA1" w:rsidRPr="006C7E3D" w14:paraId="3540BFDD" w14:textId="77777777">
        <w:trPr>
          <w:trHeight w:val="342"/>
        </w:trPr>
        <w:tc>
          <w:tcPr>
            <w:tcW w:w="1894" w:type="dxa"/>
            <w:tcBorders>
              <w:top w:val="single" w:sz="4" w:space="0" w:color="000000"/>
              <w:left w:val="nil"/>
              <w:bottom w:val="nil"/>
              <w:right w:val="nil"/>
            </w:tcBorders>
          </w:tcPr>
          <w:p w14:paraId="5CBA397B" w14:textId="77777777" w:rsidR="00C77FA1" w:rsidRPr="006C7E3D" w:rsidRDefault="00C77FA1" w:rsidP="006C7E3D">
            <w:pPr>
              <w:spacing w:line="276" w:lineRule="auto"/>
              <w:ind w:left="379"/>
              <w:jc w:val="both"/>
              <w:rPr>
                <w:rFonts w:ascii="Times New Roman" w:hAnsi="Times New Roman" w:cs="Times New Roman"/>
                <w:sz w:val="24"/>
                <w:szCs w:val="24"/>
              </w:rPr>
            </w:pPr>
            <w:r w:rsidRPr="006C7E3D">
              <w:rPr>
                <w:rFonts w:ascii="Times New Roman" w:hAnsi="Times New Roman" w:cs="Times New Roman"/>
                <w:sz w:val="24"/>
                <w:szCs w:val="24"/>
              </w:rPr>
              <w:t xml:space="preserve">4 kg - 10   </w:t>
            </w:r>
          </w:p>
        </w:tc>
        <w:tc>
          <w:tcPr>
            <w:tcW w:w="1226" w:type="dxa"/>
            <w:tcBorders>
              <w:top w:val="single" w:sz="4" w:space="0" w:color="000000"/>
              <w:left w:val="nil"/>
              <w:bottom w:val="nil"/>
              <w:right w:val="nil"/>
            </w:tcBorders>
          </w:tcPr>
          <w:p w14:paraId="6F3BFA4C" w14:textId="77777777" w:rsidR="00C77FA1" w:rsidRPr="006C7E3D" w:rsidRDefault="00C77FA1" w:rsidP="006C7E3D">
            <w:pPr>
              <w:spacing w:line="276" w:lineRule="auto"/>
              <w:ind w:left="245"/>
              <w:jc w:val="both"/>
              <w:rPr>
                <w:rFonts w:ascii="Times New Roman" w:hAnsi="Times New Roman" w:cs="Times New Roman"/>
                <w:sz w:val="24"/>
                <w:szCs w:val="24"/>
              </w:rPr>
            </w:pPr>
            <w:r w:rsidRPr="006C7E3D">
              <w:rPr>
                <w:rFonts w:ascii="Times New Roman" w:hAnsi="Times New Roman" w:cs="Times New Roman"/>
                <w:sz w:val="24"/>
                <w:szCs w:val="24"/>
              </w:rPr>
              <w:t xml:space="preserve">90  </w:t>
            </w:r>
          </w:p>
        </w:tc>
        <w:tc>
          <w:tcPr>
            <w:tcW w:w="1157" w:type="dxa"/>
            <w:tcBorders>
              <w:top w:val="single" w:sz="4" w:space="0" w:color="000000"/>
              <w:left w:val="nil"/>
              <w:bottom w:val="nil"/>
              <w:right w:val="nil"/>
            </w:tcBorders>
          </w:tcPr>
          <w:p w14:paraId="6AFE34E9" w14:textId="77777777" w:rsidR="00C77FA1" w:rsidRPr="006C7E3D" w:rsidRDefault="00C77FA1" w:rsidP="006C7E3D">
            <w:pPr>
              <w:spacing w:line="276" w:lineRule="auto"/>
              <w:ind w:left="254"/>
              <w:jc w:val="both"/>
              <w:rPr>
                <w:rFonts w:ascii="Times New Roman" w:hAnsi="Times New Roman" w:cs="Times New Roman"/>
                <w:sz w:val="24"/>
                <w:szCs w:val="24"/>
              </w:rPr>
            </w:pPr>
            <w:r w:rsidRPr="006C7E3D">
              <w:rPr>
                <w:rFonts w:ascii="Times New Roman" w:hAnsi="Times New Roman" w:cs="Times New Roman"/>
                <w:sz w:val="24"/>
                <w:szCs w:val="24"/>
              </w:rPr>
              <w:t xml:space="preserve">41,28  </w:t>
            </w:r>
          </w:p>
        </w:tc>
      </w:tr>
      <w:tr w:rsidR="00C77FA1" w:rsidRPr="006C7E3D" w14:paraId="22BA8B44" w14:textId="77777777">
        <w:trPr>
          <w:trHeight w:val="282"/>
        </w:trPr>
        <w:tc>
          <w:tcPr>
            <w:tcW w:w="1894" w:type="dxa"/>
            <w:tcBorders>
              <w:top w:val="nil"/>
              <w:left w:val="nil"/>
              <w:bottom w:val="nil"/>
              <w:right w:val="nil"/>
            </w:tcBorders>
          </w:tcPr>
          <w:p w14:paraId="100D4672" w14:textId="77777777" w:rsidR="00C77FA1" w:rsidRPr="006C7E3D" w:rsidRDefault="00C77FA1" w:rsidP="006C7E3D">
            <w:pPr>
              <w:spacing w:line="276" w:lineRule="auto"/>
              <w:ind w:left="461"/>
              <w:jc w:val="both"/>
              <w:rPr>
                <w:rFonts w:ascii="Times New Roman" w:hAnsi="Times New Roman" w:cs="Times New Roman"/>
                <w:sz w:val="24"/>
                <w:szCs w:val="24"/>
              </w:rPr>
            </w:pPr>
            <w:r w:rsidRPr="006C7E3D">
              <w:rPr>
                <w:rFonts w:ascii="Times New Roman" w:hAnsi="Times New Roman" w:cs="Times New Roman"/>
                <w:sz w:val="24"/>
                <w:szCs w:val="24"/>
              </w:rPr>
              <w:t xml:space="preserve">10 - 16   </w:t>
            </w:r>
          </w:p>
        </w:tc>
        <w:tc>
          <w:tcPr>
            <w:tcW w:w="1226" w:type="dxa"/>
            <w:tcBorders>
              <w:top w:val="nil"/>
              <w:left w:val="nil"/>
              <w:bottom w:val="nil"/>
              <w:right w:val="nil"/>
            </w:tcBorders>
          </w:tcPr>
          <w:p w14:paraId="68544FFD" w14:textId="77777777" w:rsidR="00C77FA1" w:rsidRPr="006C7E3D" w:rsidRDefault="00C77FA1" w:rsidP="006C7E3D">
            <w:pPr>
              <w:spacing w:line="276" w:lineRule="auto"/>
              <w:ind w:left="190"/>
              <w:jc w:val="both"/>
              <w:rPr>
                <w:rFonts w:ascii="Times New Roman" w:hAnsi="Times New Roman" w:cs="Times New Roman"/>
                <w:sz w:val="24"/>
                <w:szCs w:val="24"/>
              </w:rPr>
            </w:pPr>
            <w:r w:rsidRPr="006C7E3D">
              <w:rPr>
                <w:rFonts w:ascii="Times New Roman" w:hAnsi="Times New Roman" w:cs="Times New Roman"/>
                <w:sz w:val="24"/>
                <w:szCs w:val="24"/>
              </w:rPr>
              <w:t xml:space="preserve">111  </w:t>
            </w:r>
          </w:p>
        </w:tc>
        <w:tc>
          <w:tcPr>
            <w:tcW w:w="1157" w:type="dxa"/>
            <w:tcBorders>
              <w:top w:val="nil"/>
              <w:left w:val="nil"/>
              <w:bottom w:val="nil"/>
              <w:right w:val="nil"/>
            </w:tcBorders>
          </w:tcPr>
          <w:p w14:paraId="058D8F2E" w14:textId="77777777" w:rsidR="00C77FA1" w:rsidRPr="006C7E3D" w:rsidRDefault="00C77FA1" w:rsidP="006C7E3D">
            <w:pPr>
              <w:spacing w:line="276" w:lineRule="auto"/>
              <w:ind w:left="254"/>
              <w:jc w:val="both"/>
              <w:rPr>
                <w:rFonts w:ascii="Times New Roman" w:hAnsi="Times New Roman" w:cs="Times New Roman"/>
                <w:sz w:val="24"/>
                <w:szCs w:val="24"/>
              </w:rPr>
            </w:pPr>
            <w:r w:rsidRPr="006C7E3D">
              <w:rPr>
                <w:rFonts w:ascii="Times New Roman" w:hAnsi="Times New Roman" w:cs="Times New Roman"/>
                <w:sz w:val="24"/>
                <w:szCs w:val="24"/>
              </w:rPr>
              <w:t xml:space="preserve">50,93  </w:t>
            </w:r>
          </w:p>
        </w:tc>
      </w:tr>
      <w:tr w:rsidR="00C77FA1" w:rsidRPr="006C7E3D" w14:paraId="0D411842" w14:textId="77777777">
        <w:trPr>
          <w:trHeight w:val="459"/>
        </w:trPr>
        <w:tc>
          <w:tcPr>
            <w:tcW w:w="1894" w:type="dxa"/>
            <w:tcBorders>
              <w:top w:val="nil"/>
              <w:left w:val="nil"/>
              <w:bottom w:val="single" w:sz="4" w:space="0" w:color="000000"/>
              <w:right w:val="nil"/>
            </w:tcBorders>
          </w:tcPr>
          <w:p w14:paraId="697D61FA" w14:textId="77777777" w:rsidR="00C77FA1" w:rsidRPr="006C7E3D" w:rsidRDefault="00C77FA1" w:rsidP="006C7E3D">
            <w:pPr>
              <w:spacing w:line="276" w:lineRule="auto"/>
              <w:ind w:left="434"/>
              <w:jc w:val="both"/>
              <w:rPr>
                <w:rFonts w:ascii="Times New Roman" w:hAnsi="Times New Roman" w:cs="Times New Roman"/>
                <w:sz w:val="24"/>
                <w:szCs w:val="24"/>
              </w:rPr>
            </w:pPr>
            <w:r w:rsidRPr="006C7E3D">
              <w:rPr>
                <w:rFonts w:ascii="Times New Roman" w:hAnsi="Times New Roman" w:cs="Times New Roman"/>
                <w:sz w:val="24"/>
                <w:szCs w:val="24"/>
              </w:rPr>
              <w:t xml:space="preserve"> 16 - 19    </w:t>
            </w:r>
          </w:p>
        </w:tc>
        <w:tc>
          <w:tcPr>
            <w:tcW w:w="1226" w:type="dxa"/>
            <w:tcBorders>
              <w:top w:val="nil"/>
              <w:left w:val="nil"/>
              <w:bottom w:val="single" w:sz="4" w:space="0" w:color="000000"/>
              <w:right w:val="nil"/>
            </w:tcBorders>
          </w:tcPr>
          <w:p w14:paraId="0A24AF75" w14:textId="77777777" w:rsidR="00C77FA1" w:rsidRPr="006C7E3D" w:rsidRDefault="00C77FA1" w:rsidP="006C7E3D">
            <w:pPr>
              <w:spacing w:line="276" w:lineRule="auto"/>
              <w:ind w:left="245"/>
              <w:jc w:val="both"/>
              <w:rPr>
                <w:rFonts w:ascii="Times New Roman" w:hAnsi="Times New Roman" w:cs="Times New Roman"/>
                <w:sz w:val="24"/>
                <w:szCs w:val="24"/>
              </w:rPr>
            </w:pPr>
            <w:r w:rsidRPr="006C7E3D">
              <w:rPr>
                <w:rFonts w:ascii="Times New Roman" w:hAnsi="Times New Roman" w:cs="Times New Roman"/>
                <w:sz w:val="24"/>
                <w:szCs w:val="24"/>
              </w:rPr>
              <w:t xml:space="preserve">17  </w:t>
            </w:r>
          </w:p>
        </w:tc>
        <w:tc>
          <w:tcPr>
            <w:tcW w:w="1157" w:type="dxa"/>
            <w:tcBorders>
              <w:top w:val="nil"/>
              <w:left w:val="nil"/>
              <w:bottom w:val="single" w:sz="4" w:space="0" w:color="000000"/>
              <w:right w:val="nil"/>
            </w:tcBorders>
          </w:tcPr>
          <w:p w14:paraId="3C6BC3BE" w14:textId="77777777" w:rsidR="00C77FA1" w:rsidRPr="006C7E3D" w:rsidRDefault="00C77FA1" w:rsidP="006C7E3D">
            <w:pPr>
              <w:spacing w:line="276" w:lineRule="auto"/>
              <w:ind w:left="310"/>
              <w:jc w:val="both"/>
              <w:rPr>
                <w:rFonts w:ascii="Times New Roman" w:hAnsi="Times New Roman" w:cs="Times New Roman"/>
                <w:sz w:val="24"/>
                <w:szCs w:val="24"/>
              </w:rPr>
            </w:pPr>
            <w:r w:rsidRPr="006C7E3D">
              <w:rPr>
                <w:rFonts w:ascii="Times New Roman" w:hAnsi="Times New Roman" w:cs="Times New Roman"/>
                <w:sz w:val="24"/>
                <w:szCs w:val="24"/>
              </w:rPr>
              <w:t xml:space="preserve">7,79  </w:t>
            </w:r>
          </w:p>
        </w:tc>
      </w:tr>
      <w:tr w:rsidR="00C77FA1" w:rsidRPr="006C7E3D" w14:paraId="76D9B368" w14:textId="77777777">
        <w:trPr>
          <w:trHeight w:val="322"/>
        </w:trPr>
        <w:tc>
          <w:tcPr>
            <w:tcW w:w="1894" w:type="dxa"/>
            <w:tcBorders>
              <w:top w:val="single" w:sz="4" w:space="0" w:color="000000"/>
              <w:left w:val="nil"/>
              <w:bottom w:val="single" w:sz="4" w:space="0" w:color="000000"/>
              <w:right w:val="nil"/>
            </w:tcBorders>
          </w:tcPr>
          <w:p w14:paraId="154C535A" w14:textId="77777777" w:rsidR="00C77FA1" w:rsidRPr="006C7E3D" w:rsidRDefault="00C77FA1" w:rsidP="006C7E3D">
            <w:pPr>
              <w:spacing w:line="276" w:lineRule="auto"/>
              <w:ind w:left="521"/>
              <w:jc w:val="both"/>
              <w:rPr>
                <w:rFonts w:ascii="Times New Roman" w:hAnsi="Times New Roman" w:cs="Times New Roman"/>
                <w:sz w:val="24"/>
                <w:szCs w:val="24"/>
              </w:rPr>
            </w:pPr>
            <w:r w:rsidRPr="006C7E3D">
              <w:rPr>
                <w:rFonts w:ascii="Times New Roman" w:eastAsia="Times New Roman" w:hAnsi="Times New Roman" w:cs="Times New Roman"/>
                <w:b/>
                <w:sz w:val="24"/>
                <w:szCs w:val="24"/>
              </w:rPr>
              <w:t xml:space="preserve">Total  </w:t>
            </w:r>
          </w:p>
        </w:tc>
        <w:tc>
          <w:tcPr>
            <w:tcW w:w="1226" w:type="dxa"/>
            <w:tcBorders>
              <w:top w:val="single" w:sz="4" w:space="0" w:color="000000"/>
              <w:left w:val="nil"/>
              <w:bottom w:val="single" w:sz="4" w:space="0" w:color="000000"/>
              <w:right w:val="nil"/>
            </w:tcBorders>
          </w:tcPr>
          <w:p w14:paraId="2C266017" w14:textId="77777777" w:rsidR="00C77FA1" w:rsidRPr="006C7E3D" w:rsidRDefault="00C77FA1" w:rsidP="006C7E3D">
            <w:pPr>
              <w:spacing w:line="276" w:lineRule="auto"/>
              <w:ind w:left="190"/>
              <w:jc w:val="both"/>
              <w:rPr>
                <w:rFonts w:ascii="Times New Roman" w:hAnsi="Times New Roman" w:cs="Times New Roman"/>
                <w:sz w:val="24"/>
                <w:szCs w:val="24"/>
              </w:rPr>
            </w:pPr>
            <w:r w:rsidRPr="006C7E3D">
              <w:rPr>
                <w:rFonts w:ascii="Times New Roman" w:hAnsi="Times New Roman" w:cs="Times New Roman"/>
                <w:sz w:val="24"/>
                <w:szCs w:val="24"/>
              </w:rPr>
              <w:t xml:space="preserve">218  </w:t>
            </w:r>
          </w:p>
        </w:tc>
        <w:tc>
          <w:tcPr>
            <w:tcW w:w="1157" w:type="dxa"/>
            <w:tcBorders>
              <w:top w:val="single" w:sz="4" w:space="0" w:color="000000"/>
              <w:left w:val="nil"/>
              <w:bottom w:val="single" w:sz="4" w:space="0" w:color="000000"/>
              <w:right w:val="nil"/>
            </w:tcBorders>
          </w:tcPr>
          <w:p w14:paraId="57411544" w14:textId="77777777" w:rsidR="00C77FA1" w:rsidRPr="006C7E3D" w:rsidRDefault="00C77FA1" w:rsidP="006C7E3D">
            <w:pPr>
              <w:spacing w:line="276" w:lineRule="auto"/>
              <w:jc w:val="both"/>
              <w:rPr>
                <w:rFonts w:ascii="Times New Roman" w:hAnsi="Times New Roman" w:cs="Times New Roman"/>
                <w:sz w:val="24"/>
                <w:szCs w:val="24"/>
              </w:rPr>
            </w:pPr>
            <w:r w:rsidRPr="006C7E3D">
              <w:rPr>
                <w:rFonts w:ascii="Times New Roman" w:hAnsi="Times New Roman" w:cs="Times New Roman"/>
                <w:sz w:val="24"/>
                <w:szCs w:val="24"/>
              </w:rPr>
              <w:t xml:space="preserve">100  </w:t>
            </w:r>
          </w:p>
        </w:tc>
      </w:tr>
    </w:tbl>
    <w:p w14:paraId="18C49797" w14:textId="77777777" w:rsidR="00C77FA1" w:rsidRPr="006C7E3D" w:rsidRDefault="00C77FA1" w:rsidP="006C7E3D">
      <w:pPr>
        <w:ind w:firstLine="720"/>
        <w:jc w:val="both"/>
        <w:rPr>
          <w:rFonts w:cs="Times New Roman"/>
          <w:szCs w:val="24"/>
        </w:rPr>
      </w:pPr>
      <w:r w:rsidRPr="006C7E3D">
        <w:rPr>
          <w:rFonts w:cs="Times New Roman"/>
          <w:szCs w:val="24"/>
        </w:rPr>
        <w:t xml:space="preserve">Berdasarkan tabel 4.3 pasien balita dengan penyakit ISPA non pneumonia cenderung banyak ditemukan pada kelompok berat badan yang kedua, yaitu 10kg - 16kg sebanyak 111 pasien dengan peersentase 50,91%. Hal ini berkitan dengan jumlah balita penderita ISPA non pneumonia berdasarkan umur 1-3 tahun, karena balita sistem kekebalan tubuh yang  rendah dari pada orang dewasa, sehingga dapat mempengaruhi kondisi balita yang lemah dan proses penyebaran penyakit ISPA yang menjadi lebih cepat. </w:t>
      </w:r>
    </w:p>
    <w:p w14:paraId="0353E67C" w14:textId="5BFA4F23" w:rsidR="006C7E3D" w:rsidRDefault="00C77FA1" w:rsidP="006C7E3D">
      <w:pPr>
        <w:ind w:firstLine="720"/>
        <w:jc w:val="both"/>
        <w:rPr>
          <w:rFonts w:cs="Times New Roman"/>
          <w:szCs w:val="24"/>
        </w:rPr>
      </w:pPr>
      <w:r w:rsidRPr="006C7E3D">
        <w:rPr>
          <w:rFonts w:cs="Times New Roman"/>
          <w:szCs w:val="24"/>
        </w:rPr>
        <w:t>Pada kelompok berat badan yang pertama, yaitu 4kg - 10 kg sebanyak 90 dengan persentase 41,28%. Pada kelompok 3 dengan berat badan 16 kg -19 kg sebanyak 17 pasien dengan perse</w:t>
      </w:r>
      <w:r w:rsidR="006C7E3D">
        <w:rPr>
          <w:rFonts w:cs="Times New Roman"/>
          <w:szCs w:val="24"/>
          <w:lang w:val="en-US"/>
        </w:rPr>
        <w:t>n</w:t>
      </w:r>
      <w:r w:rsidRPr="006C7E3D">
        <w:rPr>
          <w:rFonts w:cs="Times New Roman"/>
          <w:szCs w:val="24"/>
        </w:rPr>
        <w:t xml:space="preserve">tase 7,79%. </w:t>
      </w:r>
    </w:p>
    <w:p w14:paraId="44BDD613" w14:textId="77777777" w:rsidR="006C7E3D" w:rsidRPr="006C7E3D" w:rsidRDefault="006C7E3D" w:rsidP="006C7E3D">
      <w:pPr>
        <w:ind w:firstLine="720"/>
        <w:jc w:val="both"/>
        <w:rPr>
          <w:rFonts w:cs="Times New Roman"/>
          <w:szCs w:val="24"/>
        </w:rPr>
      </w:pPr>
      <w:r w:rsidRPr="006C7E3D">
        <w:rPr>
          <w:rFonts w:cs="Times New Roman"/>
          <w:szCs w:val="24"/>
        </w:rPr>
        <w:t xml:space="preserve">Berdasarkan pada table 4 dapat diketahui bahwa jenis obat yang paling banyak digunakan dalam penggobatan ISPA </w:t>
      </w:r>
      <w:r w:rsidRPr="006C7E3D">
        <w:rPr>
          <w:rFonts w:cs="Times New Roman"/>
          <w:szCs w:val="24"/>
        </w:rPr>
        <w:lastRenderedPageBreak/>
        <w:t xml:space="preserve">Non Pneumonia di Puskesmas Tlanakan adalah 3 kombinasi obat yaitu obat Paracetamol, CTM dan Ambroxol sebanyak 44 pasien (20,18%) ; Paracetamol, Vit C dan Guafenesin sebanyak 26 pasien (11,92%) ; Paracetamol, Salbutamol dan Ambroxol sebanyak 21 pasien (9,36%) ;  Paracetamol, CTM dan Guaifenesin sebnayak 19 (8,71%) dan </w:t>
      </w:r>
    </w:p>
    <w:p w14:paraId="41CA6521" w14:textId="77777777" w:rsidR="006C7E3D" w:rsidRPr="006C7E3D" w:rsidRDefault="006C7E3D" w:rsidP="006C7E3D">
      <w:pPr>
        <w:jc w:val="both"/>
        <w:rPr>
          <w:rFonts w:cs="Times New Roman"/>
          <w:szCs w:val="24"/>
        </w:rPr>
      </w:pPr>
      <w:r w:rsidRPr="006C7E3D">
        <w:rPr>
          <w:rFonts w:cs="Times New Roman"/>
          <w:szCs w:val="24"/>
        </w:rPr>
        <w:t xml:space="preserve">Amoxisillin,Vit C dan Guaifenesin sebanyak 6 (2,75%). Hal ini disebabkan karena pasien balita ISPA non pneumonia yang berkunjung ke puskesmas tidak hanya memerlukan pengobatan casual (obat yang bekerja untuk menghambat dan membunuh suatu penyakit) seperti obat antibiotik, akan tetapi juga membutuhkan terapi obat simptomatik (obat untuk meredakan gejala umum) seperti obat demam atau parasetamol, batuk pilek dan obat-obat vitamin untuk menunjang pengobatan.   </w:t>
      </w:r>
    </w:p>
    <w:p w14:paraId="0C9685BF" w14:textId="77777777" w:rsidR="006C7E3D" w:rsidRDefault="006C7E3D" w:rsidP="006C7E3D">
      <w:pPr>
        <w:spacing w:after="14"/>
        <w:ind w:right="-15" w:firstLine="720"/>
        <w:jc w:val="both"/>
        <w:rPr>
          <w:rFonts w:cs="Times New Roman"/>
          <w:szCs w:val="24"/>
        </w:rPr>
      </w:pPr>
      <w:r w:rsidRPr="006C7E3D">
        <w:rPr>
          <w:rFonts w:cs="Times New Roman"/>
          <w:szCs w:val="24"/>
        </w:rPr>
        <w:t xml:space="preserve">Obat yang diberikan pada pasien balita non pneumonia </w:t>
      </w:r>
      <w:r w:rsidRPr="006C7E3D">
        <w:rPr>
          <w:rFonts w:cs="Times New Roman"/>
          <w:szCs w:val="24"/>
        </w:rPr>
        <w:tab/>
        <w:t xml:space="preserve">itu </w:t>
      </w:r>
      <w:r w:rsidRPr="006C7E3D">
        <w:rPr>
          <w:rFonts w:cs="Times New Roman"/>
          <w:szCs w:val="24"/>
        </w:rPr>
        <w:tab/>
        <w:t>bermacam</w:t>
      </w:r>
      <w:r>
        <w:rPr>
          <w:rFonts w:cs="Times New Roman"/>
          <w:szCs w:val="24"/>
          <w:lang w:val="en-US"/>
        </w:rPr>
        <w:t xml:space="preserve"> </w:t>
      </w:r>
      <w:r w:rsidRPr="006C7E3D">
        <w:rPr>
          <w:rFonts w:cs="Times New Roman"/>
          <w:szCs w:val="24"/>
        </w:rPr>
        <w:t xml:space="preserve">macam </w:t>
      </w:r>
      <w:r w:rsidRPr="006C7E3D">
        <w:rPr>
          <w:rFonts w:cs="Times New Roman"/>
          <w:szCs w:val="24"/>
        </w:rPr>
        <w:tab/>
        <w:t xml:space="preserve">dari </w:t>
      </w:r>
      <w:r w:rsidRPr="006C7E3D">
        <w:rPr>
          <w:rFonts w:cs="Times New Roman"/>
          <w:szCs w:val="24"/>
        </w:rPr>
        <w:tab/>
        <w:t>jenis pengolongan</w:t>
      </w:r>
      <w:r>
        <w:rPr>
          <w:rFonts w:cs="Times New Roman"/>
          <w:szCs w:val="24"/>
          <w:lang w:val="en-US"/>
        </w:rPr>
        <w:t xml:space="preserve"> </w:t>
      </w:r>
      <w:r w:rsidRPr="006C7E3D">
        <w:rPr>
          <w:rFonts w:cs="Times New Roman"/>
          <w:szCs w:val="24"/>
        </w:rPr>
        <w:t xml:space="preserve">obatnya. </w:t>
      </w:r>
      <w:r w:rsidRPr="006C7E3D">
        <w:rPr>
          <w:rFonts w:cs="Times New Roman"/>
          <w:szCs w:val="24"/>
        </w:rPr>
        <w:tab/>
        <w:t xml:space="preserve">Adanya </w:t>
      </w:r>
      <w:r w:rsidRPr="006C7E3D">
        <w:rPr>
          <w:rFonts w:cs="Times New Roman"/>
          <w:szCs w:val="24"/>
        </w:rPr>
        <w:tab/>
        <w:t>perbedaan</w:t>
      </w:r>
      <w:r w:rsidRPr="005405A4">
        <w:rPr>
          <w:rFonts w:cs="Times New Roman"/>
          <w:szCs w:val="24"/>
        </w:rPr>
        <w:t xml:space="preserve"> </w:t>
      </w:r>
      <w:r w:rsidRPr="006C7E3D">
        <w:rPr>
          <w:rFonts w:cs="Times New Roman"/>
          <w:szCs w:val="24"/>
        </w:rPr>
        <w:t xml:space="preserve">klasifikasi </w:t>
      </w:r>
      <w:r w:rsidRPr="006C7E3D">
        <w:rPr>
          <w:rFonts w:cs="Times New Roman"/>
          <w:szCs w:val="24"/>
        </w:rPr>
        <w:tab/>
        <w:t xml:space="preserve">penyakit </w:t>
      </w:r>
      <w:r w:rsidRPr="006C7E3D">
        <w:rPr>
          <w:rFonts w:cs="Times New Roman"/>
          <w:szCs w:val="24"/>
        </w:rPr>
        <w:tab/>
        <w:t xml:space="preserve">tentu </w:t>
      </w:r>
      <w:r w:rsidRPr="006C7E3D">
        <w:rPr>
          <w:rFonts w:cs="Times New Roman"/>
          <w:szCs w:val="24"/>
        </w:rPr>
        <w:tab/>
        <w:t>saja</w:t>
      </w:r>
      <w:r w:rsidRPr="005405A4">
        <w:rPr>
          <w:rFonts w:cs="Times New Roman"/>
          <w:szCs w:val="24"/>
        </w:rPr>
        <w:t xml:space="preserve"> </w:t>
      </w:r>
      <w:r w:rsidRPr="006C7E3D">
        <w:rPr>
          <w:rFonts w:cs="Times New Roman"/>
          <w:szCs w:val="24"/>
        </w:rPr>
        <w:t xml:space="preserve">berbeda tatalaksanannya. </w:t>
      </w:r>
      <w:r w:rsidRPr="006C7E3D">
        <w:rPr>
          <w:rFonts w:cs="Times New Roman"/>
          <w:szCs w:val="24"/>
        </w:rPr>
        <w:tab/>
      </w:r>
    </w:p>
    <w:p w14:paraId="0595B34D" w14:textId="77777777" w:rsidR="006C7E3D" w:rsidRDefault="006C7E3D" w:rsidP="006C7E3D">
      <w:pPr>
        <w:spacing w:after="14"/>
        <w:ind w:right="-15" w:firstLine="720"/>
        <w:jc w:val="both"/>
        <w:rPr>
          <w:rFonts w:cs="Times New Roman"/>
          <w:szCs w:val="24"/>
        </w:rPr>
      </w:pPr>
    </w:p>
    <w:p w14:paraId="55BA2319" w14:textId="382886DA" w:rsidR="006C7E3D" w:rsidRDefault="006C7E3D" w:rsidP="006C7E3D">
      <w:pPr>
        <w:spacing w:after="14"/>
        <w:ind w:right="-15" w:firstLine="720"/>
        <w:jc w:val="both"/>
        <w:rPr>
          <w:rFonts w:cs="Times New Roman"/>
          <w:szCs w:val="24"/>
        </w:rPr>
      </w:pPr>
      <w:r w:rsidRPr="006C7E3D">
        <w:rPr>
          <w:rFonts w:cs="Times New Roman"/>
          <w:szCs w:val="24"/>
        </w:rPr>
        <w:t xml:space="preserve">Berdasarkan </w:t>
      </w:r>
      <w:r w:rsidRPr="006C7E3D">
        <w:rPr>
          <w:rFonts w:cs="Times New Roman"/>
          <w:szCs w:val="24"/>
        </w:rPr>
        <w:tab/>
        <w:t xml:space="preserve">Buku </w:t>
      </w:r>
      <w:r w:rsidRPr="006C7E3D">
        <w:rPr>
          <w:rFonts w:cs="Times New Roman"/>
          <w:szCs w:val="24"/>
        </w:rPr>
        <w:tab/>
        <w:t xml:space="preserve">Bagan Manajemen Balita Sakit (MTBS), balita dengan pneumonia dan pneumonia berat dapat diberikan antibiotik, namun tidak dengan balita batuk dengan non pneumonia. Sama halnya dengan hasil yang diperoleh pada Pengobatan ISPA Non Pneumonia Balita di Puskesmas Tlanakan, dimana golongan obat yang paling sedikit digunakan pada pasien ISPA non Pneumonia  yang berobat di bulan Januari sampai Desember 2022 yaitu antibiotik amoksisilin.  </w:t>
      </w:r>
    </w:p>
    <w:p w14:paraId="60E157F0" w14:textId="77777777" w:rsidR="006C7E3D" w:rsidRPr="006C7E3D" w:rsidRDefault="006C7E3D" w:rsidP="006C7E3D">
      <w:pPr>
        <w:ind w:firstLine="720"/>
        <w:jc w:val="both"/>
        <w:rPr>
          <w:rFonts w:cs="Times New Roman"/>
          <w:szCs w:val="24"/>
        </w:rPr>
      </w:pPr>
      <w:r w:rsidRPr="006C7E3D">
        <w:rPr>
          <w:rFonts w:cs="Times New Roman"/>
          <w:szCs w:val="24"/>
        </w:rPr>
        <w:t xml:space="preserve">Amoksisilin merupakan Antibiotik lini pertama untuk ISPA, namun pada pemberian pengobatan untuk ISPA Non Pneumonia di Puskesmas Tlanakan yang paling banyak diberikan yaitu golongan </w:t>
      </w:r>
      <w:r w:rsidRPr="006C7E3D">
        <w:rPr>
          <w:rFonts w:cs="Times New Roman"/>
          <w:szCs w:val="24"/>
        </w:rPr>
        <w:lastRenderedPageBreak/>
        <w:t xml:space="preserve">Analgetik-antipiretik yaitu paracetamol. Analgetik-antipiretik (Paracetamol) yang berfungsi untuk meredakan nyeri ringan dan akibat sakit kepala sakit gigi, menstruasi, meredakan nyeri serta menurunkan demam. Analgetik adalah senyawa yang dapat mengurangi atau menghilangkan rasa nyeri tanpa menghilangkan rasa sadar. Sedangkan antipiretik adalah senyawa yang dapat menurunkan demam dengan suhu tubuh yang tinggi [7] </w:t>
      </w:r>
    </w:p>
    <w:p w14:paraId="3FF77492" w14:textId="77777777" w:rsidR="006C7E3D" w:rsidRDefault="006C7E3D" w:rsidP="006C7E3D">
      <w:pPr>
        <w:spacing w:after="14"/>
        <w:ind w:right="-15" w:firstLine="720"/>
        <w:jc w:val="both"/>
        <w:rPr>
          <w:rFonts w:cs="Times New Roman"/>
          <w:szCs w:val="24"/>
        </w:rPr>
      </w:pPr>
      <w:r w:rsidRPr="006C7E3D">
        <w:rPr>
          <w:rFonts w:cs="Times New Roman"/>
          <w:szCs w:val="24"/>
        </w:rPr>
        <w:t xml:space="preserve">Adapun </w:t>
      </w:r>
      <w:r w:rsidRPr="006C7E3D">
        <w:rPr>
          <w:rFonts w:cs="Times New Roman"/>
          <w:szCs w:val="24"/>
        </w:rPr>
        <w:tab/>
        <w:t xml:space="preserve">obat </w:t>
      </w:r>
      <w:r w:rsidRPr="006C7E3D">
        <w:rPr>
          <w:rFonts w:cs="Times New Roman"/>
          <w:szCs w:val="24"/>
        </w:rPr>
        <w:tab/>
        <w:t xml:space="preserve">yang </w:t>
      </w:r>
      <w:r w:rsidRPr="006C7E3D">
        <w:rPr>
          <w:rFonts w:cs="Times New Roman"/>
          <w:szCs w:val="24"/>
        </w:rPr>
        <w:tab/>
        <w:t xml:space="preserve">digunakan </w:t>
      </w:r>
      <w:r w:rsidRPr="006C7E3D">
        <w:rPr>
          <w:rFonts w:cs="Times New Roman"/>
          <w:szCs w:val="24"/>
        </w:rPr>
        <w:tab/>
        <w:t xml:space="preserve">untuk pengobatan ISPA Non Pneumonia selain antibiotik dan analgetik-antipiretik seperti, golongan antihistamin yaitu </w:t>
      </w:r>
      <w:r w:rsidRPr="006C7E3D">
        <w:rPr>
          <w:rFonts w:eastAsia="Times New Roman" w:cs="Times New Roman"/>
          <w:i/>
          <w:szCs w:val="24"/>
        </w:rPr>
        <w:t xml:space="preserve">Chlorpheniramine Maleat </w:t>
      </w:r>
      <w:r w:rsidRPr="006C7E3D">
        <w:rPr>
          <w:rFonts w:cs="Times New Roman"/>
          <w:szCs w:val="24"/>
        </w:rPr>
        <w:t xml:space="preserve">(CTM), dikarenakan dapat meringankan gejala alergi dan dapat meringankan batuk pilek </w:t>
      </w:r>
      <w:r w:rsidRPr="006C7E3D">
        <w:rPr>
          <w:rFonts w:eastAsia="Times New Roman" w:cs="Times New Roman"/>
          <w:i/>
          <w:szCs w:val="24"/>
        </w:rPr>
        <w:t>(common cold).</w:t>
      </w:r>
      <w:r w:rsidRPr="006C7E3D">
        <w:rPr>
          <w:rFonts w:cs="Times New Roman"/>
          <w:szCs w:val="24"/>
        </w:rPr>
        <w:t xml:space="preserve"> Antihistamin merupakan obat yang sering digunakan untuk kronik, antihistamin adalah zat yang dapat mengurangi atau menghalangi efek histamin terhadap tubuh dengan jalan memblok reseptor histamin, yaitu dengan H1, H2, H3 dengan H4 dengan Dimana </w:t>
      </w:r>
      <w:r w:rsidRPr="006C7E3D">
        <w:rPr>
          <w:rFonts w:eastAsia="Times New Roman" w:cs="Times New Roman"/>
          <w:i/>
          <w:szCs w:val="24"/>
        </w:rPr>
        <w:t>Clorampheniramine maleat</w:t>
      </w:r>
      <w:r w:rsidRPr="006C7E3D">
        <w:rPr>
          <w:rFonts w:cs="Times New Roman"/>
          <w:szCs w:val="24"/>
        </w:rPr>
        <w:t xml:space="preserve"> ini termasuk golongan antagonis reseptor H1 yang juga memiliki efek antikolinergik dan efek sedasi. </w:t>
      </w:r>
      <w:r w:rsidRPr="006C7E3D">
        <w:rPr>
          <w:rFonts w:eastAsia="Times New Roman" w:cs="Times New Roman"/>
          <w:i/>
          <w:szCs w:val="24"/>
        </w:rPr>
        <w:t>Clorampheniramine maleat</w:t>
      </w:r>
      <w:r w:rsidRPr="006C7E3D">
        <w:rPr>
          <w:rFonts w:cs="Times New Roman"/>
          <w:szCs w:val="24"/>
        </w:rPr>
        <w:t xml:space="preserve"> dapat menurunkan reaksi inflamansi yang terjadi pada saluran pernafasan sehingga implus batuk yang diteruskan ke pusat batuk berkurang [8].  </w:t>
      </w:r>
    </w:p>
    <w:p w14:paraId="133FCB7A" w14:textId="77777777" w:rsidR="006C7E3D" w:rsidRPr="006C7E3D" w:rsidRDefault="006C7E3D" w:rsidP="006C7E3D">
      <w:pPr>
        <w:spacing w:after="14"/>
        <w:ind w:right="-15" w:firstLine="720"/>
        <w:jc w:val="both"/>
        <w:rPr>
          <w:rFonts w:cs="Times New Roman"/>
          <w:szCs w:val="24"/>
        </w:rPr>
      </w:pPr>
    </w:p>
    <w:p w14:paraId="7852F279" w14:textId="7D4D69DE" w:rsidR="006C7E3D" w:rsidRPr="006C7E3D" w:rsidRDefault="006C7E3D" w:rsidP="006C7E3D">
      <w:pPr>
        <w:ind w:firstLine="720"/>
        <w:jc w:val="both"/>
        <w:rPr>
          <w:rFonts w:cs="Times New Roman"/>
          <w:szCs w:val="24"/>
        </w:rPr>
        <w:sectPr w:rsidR="006C7E3D" w:rsidRPr="006C7E3D" w:rsidSect="006C7E3D">
          <w:type w:val="continuous"/>
          <w:pgSz w:w="11909" w:h="16834"/>
          <w:pgMar w:top="1421" w:right="1129" w:bottom="1386" w:left="1419" w:header="720" w:footer="720" w:gutter="0"/>
          <w:cols w:num="2" w:space="575"/>
        </w:sectPr>
      </w:pPr>
      <w:r w:rsidRPr="006C7E3D">
        <w:rPr>
          <w:rFonts w:cs="Times New Roman"/>
          <w:szCs w:val="24"/>
        </w:rPr>
        <w:t xml:space="preserve">Perbedaan utama antara antihistamin generasi kedua adalah efek obat gangguan pada sistem saraf pusat. Antihistamin generasi pertama mempunyai sifat lisofilik sehingga </w:t>
      </w:r>
    </w:p>
    <w:p w14:paraId="212D07D1" w14:textId="77777777" w:rsidR="00C77FA1" w:rsidRPr="006C7E3D" w:rsidRDefault="00C77FA1" w:rsidP="006C7E3D">
      <w:pPr>
        <w:spacing w:after="270" w:line="246" w:lineRule="auto"/>
        <w:ind w:left="-5" w:right="-15" w:hanging="10"/>
        <w:jc w:val="both"/>
        <w:rPr>
          <w:rFonts w:cs="Times New Roman"/>
          <w:szCs w:val="24"/>
        </w:rPr>
      </w:pPr>
      <w:r w:rsidRPr="006C7E3D">
        <w:rPr>
          <w:rFonts w:eastAsia="Times New Roman" w:cs="Times New Roman"/>
          <w:b/>
          <w:szCs w:val="24"/>
        </w:rPr>
        <w:lastRenderedPageBreak/>
        <w:t xml:space="preserve">Karakteristik Obat </w:t>
      </w:r>
    </w:p>
    <w:p w14:paraId="57919A24" w14:textId="77777777" w:rsidR="00C77FA1" w:rsidRPr="006C7E3D" w:rsidRDefault="00C77FA1" w:rsidP="006C7E3D">
      <w:pPr>
        <w:spacing w:after="250" w:line="276" w:lineRule="auto"/>
        <w:jc w:val="both"/>
        <w:rPr>
          <w:rFonts w:cs="Times New Roman"/>
          <w:szCs w:val="24"/>
        </w:rPr>
      </w:pPr>
      <w:r w:rsidRPr="006C7E3D">
        <w:rPr>
          <w:rFonts w:cs="Times New Roman"/>
          <w:szCs w:val="24"/>
        </w:rPr>
        <w:t xml:space="preserve">Tabel 4 Karakteristik Obat Berdasarkan Jenis Obat </w:t>
      </w:r>
    </w:p>
    <w:tbl>
      <w:tblPr>
        <w:tblStyle w:val="TableGrid"/>
        <w:tblW w:w="7353" w:type="dxa"/>
        <w:tblInd w:w="996" w:type="dxa"/>
        <w:tblCellMar>
          <w:right w:w="115" w:type="dxa"/>
        </w:tblCellMar>
        <w:tblLook w:val="04A0" w:firstRow="1" w:lastRow="0" w:firstColumn="1" w:lastColumn="0" w:noHBand="0" w:noVBand="1"/>
      </w:tblPr>
      <w:tblGrid>
        <w:gridCol w:w="1431"/>
        <w:gridCol w:w="3779"/>
        <w:gridCol w:w="935"/>
        <w:gridCol w:w="1208"/>
      </w:tblGrid>
      <w:tr w:rsidR="00C77FA1" w:rsidRPr="006C7E3D" w14:paraId="661A4232" w14:textId="77777777">
        <w:trPr>
          <w:trHeight w:val="516"/>
        </w:trPr>
        <w:tc>
          <w:tcPr>
            <w:tcW w:w="1525" w:type="dxa"/>
            <w:tcBorders>
              <w:top w:val="single" w:sz="4" w:space="0" w:color="000000"/>
              <w:left w:val="nil"/>
              <w:bottom w:val="single" w:sz="4" w:space="0" w:color="000000"/>
              <w:right w:val="nil"/>
            </w:tcBorders>
            <w:vAlign w:val="bottom"/>
          </w:tcPr>
          <w:p w14:paraId="07D34048" w14:textId="77777777" w:rsidR="00C77FA1" w:rsidRPr="006C7E3D" w:rsidRDefault="00C77FA1" w:rsidP="006C7E3D">
            <w:pPr>
              <w:spacing w:line="276" w:lineRule="auto"/>
              <w:jc w:val="both"/>
              <w:rPr>
                <w:rFonts w:ascii="Times New Roman" w:hAnsi="Times New Roman" w:cs="Times New Roman"/>
                <w:sz w:val="24"/>
                <w:szCs w:val="24"/>
              </w:rPr>
            </w:pPr>
            <w:r w:rsidRPr="006C7E3D">
              <w:rPr>
                <w:rFonts w:ascii="Times New Roman" w:eastAsia="Times New Roman" w:hAnsi="Times New Roman" w:cs="Times New Roman"/>
                <w:b/>
                <w:sz w:val="24"/>
                <w:szCs w:val="24"/>
              </w:rPr>
              <w:t xml:space="preserve">Jenis Obat  </w:t>
            </w:r>
          </w:p>
        </w:tc>
        <w:tc>
          <w:tcPr>
            <w:tcW w:w="3699" w:type="dxa"/>
            <w:tcBorders>
              <w:top w:val="single" w:sz="4" w:space="0" w:color="000000"/>
              <w:left w:val="nil"/>
              <w:bottom w:val="single" w:sz="4" w:space="0" w:color="000000"/>
              <w:right w:val="nil"/>
            </w:tcBorders>
            <w:vAlign w:val="bottom"/>
          </w:tcPr>
          <w:p w14:paraId="4E55BE88" w14:textId="77777777" w:rsidR="00C77FA1" w:rsidRPr="006C7E3D" w:rsidRDefault="00C77FA1" w:rsidP="006C7E3D">
            <w:pPr>
              <w:spacing w:line="276" w:lineRule="auto"/>
              <w:jc w:val="both"/>
              <w:rPr>
                <w:rFonts w:ascii="Times New Roman" w:hAnsi="Times New Roman" w:cs="Times New Roman"/>
                <w:sz w:val="24"/>
                <w:szCs w:val="24"/>
              </w:rPr>
            </w:pPr>
            <w:r w:rsidRPr="006C7E3D">
              <w:rPr>
                <w:rFonts w:ascii="Times New Roman" w:eastAsia="Times New Roman" w:hAnsi="Times New Roman" w:cs="Times New Roman"/>
                <w:b/>
                <w:sz w:val="24"/>
                <w:szCs w:val="24"/>
              </w:rPr>
              <w:t xml:space="preserve">Nama Obat  </w:t>
            </w:r>
          </w:p>
        </w:tc>
        <w:tc>
          <w:tcPr>
            <w:tcW w:w="987" w:type="dxa"/>
            <w:tcBorders>
              <w:top w:val="single" w:sz="4" w:space="0" w:color="000000"/>
              <w:left w:val="nil"/>
              <w:bottom w:val="single" w:sz="4" w:space="0" w:color="000000"/>
              <w:right w:val="nil"/>
            </w:tcBorders>
          </w:tcPr>
          <w:p w14:paraId="4A7B3FF9" w14:textId="77777777" w:rsidR="00C77FA1" w:rsidRPr="006C7E3D" w:rsidRDefault="00C77FA1" w:rsidP="006C7E3D">
            <w:pPr>
              <w:spacing w:line="276" w:lineRule="auto"/>
              <w:ind w:left="48" w:hanging="48"/>
              <w:jc w:val="both"/>
              <w:rPr>
                <w:rFonts w:ascii="Times New Roman" w:hAnsi="Times New Roman" w:cs="Times New Roman"/>
                <w:sz w:val="24"/>
                <w:szCs w:val="24"/>
              </w:rPr>
            </w:pPr>
            <w:r w:rsidRPr="006C7E3D">
              <w:rPr>
                <w:rFonts w:ascii="Times New Roman" w:eastAsia="Times New Roman" w:hAnsi="Times New Roman" w:cs="Times New Roman"/>
                <w:b/>
                <w:sz w:val="24"/>
                <w:szCs w:val="24"/>
              </w:rPr>
              <w:t xml:space="preserve">Jumlah Pasien  </w:t>
            </w:r>
          </w:p>
        </w:tc>
        <w:tc>
          <w:tcPr>
            <w:tcW w:w="1142" w:type="dxa"/>
            <w:tcBorders>
              <w:top w:val="single" w:sz="4" w:space="0" w:color="000000"/>
              <w:left w:val="nil"/>
              <w:bottom w:val="single" w:sz="4" w:space="0" w:color="000000"/>
              <w:right w:val="nil"/>
            </w:tcBorders>
          </w:tcPr>
          <w:p w14:paraId="755201C1" w14:textId="77777777" w:rsidR="00C77FA1" w:rsidRPr="006C7E3D" w:rsidRDefault="00C77FA1" w:rsidP="006C7E3D">
            <w:pPr>
              <w:spacing w:line="276" w:lineRule="auto"/>
              <w:ind w:left="317" w:hanging="317"/>
              <w:jc w:val="both"/>
              <w:rPr>
                <w:rFonts w:ascii="Times New Roman" w:hAnsi="Times New Roman" w:cs="Times New Roman"/>
                <w:sz w:val="24"/>
                <w:szCs w:val="24"/>
              </w:rPr>
            </w:pPr>
            <w:r w:rsidRPr="006C7E3D">
              <w:rPr>
                <w:rFonts w:ascii="Times New Roman" w:eastAsia="Times New Roman" w:hAnsi="Times New Roman" w:cs="Times New Roman"/>
                <w:b/>
                <w:sz w:val="24"/>
                <w:szCs w:val="24"/>
              </w:rPr>
              <w:t xml:space="preserve">Persentase  (%)  </w:t>
            </w:r>
          </w:p>
        </w:tc>
      </w:tr>
      <w:tr w:rsidR="00C77FA1" w:rsidRPr="006C7E3D" w14:paraId="39A47CE2" w14:textId="77777777">
        <w:trPr>
          <w:trHeight w:val="311"/>
        </w:trPr>
        <w:tc>
          <w:tcPr>
            <w:tcW w:w="1525" w:type="dxa"/>
            <w:tcBorders>
              <w:top w:val="single" w:sz="4" w:space="0" w:color="000000"/>
              <w:left w:val="nil"/>
              <w:bottom w:val="nil"/>
              <w:right w:val="nil"/>
            </w:tcBorders>
          </w:tcPr>
          <w:p w14:paraId="186A6663" w14:textId="77777777" w:rsidR="00C77FA1" w:rsidRPr="006C7E3D" w:rsidRDefault="00C77FA1" w:rsidP="006C7E3D">
            <w:pPr>
              <w:spacing w:line="276" w:lineRule="auto"/>
              <w:ind w:left="178"/>
              <w:jc w:val="both"/>
              <w:rPr>
                <w:rFonts w:ascii="Times New Roman" w:hAnsi="Times New Roman" w:cs="Times New Roman"/>
                <w:sz w:val="24"/>
                <w:szCs w:val="24"/>
              </w:rPr>
            </w:pPr>
            <w:r w:rsidRPr="006C7E3D">
              <w:rPr>
                <w:rFonts w:ascii="Times New Roman" w:hAnsi="Times New Roman" w:cs="Times New Roman"/>
                <w:sz w:val="24"/>
                <w:szCs w:val="24"/>
              </w:rPr>
              <w:t xml:space="preserve">2 Kombinasi  </w:t>
            </w:r>
          </w:p>
        </w:tc>
        <w:tc>
          <w:tcPr>
            <w:tcW w:w="3699" w:type="dxa"/>
            <w:tcBorders>
              <w:top w:val="single" w:sz="4" w:space="0" w:color="000000"/>
              <w:left w:val="nil"/>
              <w:bottom w:val="nil"/>
              <w:right w:val="nil"/>
            </w:tcBorders>
          </w:tcPr>
          <w:p w14:paraId="44E69EDC" w14:textId="77777777" w:rsidR="00C77FA1" w:rsidRPr="006C7E3D" w:rsidRDefault="00C77FA1" w:rsidP="006C7E3D">
            <w:pPr>
              <w:spacing w:line="276" w:lineRule="auto"/>
              <w:jc w:val="both"/>
              <w:rPr>
                <w:rFonts w:ascii="Times New Roman" w:hAnsi="Times New Roman" w:cs="Times New Roman"/>
                <w:sz w:val="24"/>
                <w:szCs w:val="24"/>
              </w:rPr>
            </w:pPr>
            <w:r w:rsidRPr="006C7E3D">
              <w:rPr>
                <w:rFonts w:ascii="Times New Roman" w:hAnsi="Times New Roman" w:cs="Times New Roman"/>
                <w:sz w:val="24"/>
                <w:szCs w:val="24"/>
              </w:rPr>
              <w:t xml:space="preserve">Paracetamol+Guaifenesin  </w:t>
            </w:r>
          </w:p>
        </w:tc>
        <w:tc>
          <w:tcPr>
            <w:tcW w:w="987" w:type="dxa"/>
            <w:tcBorders>
              <w:top w:val="single" w:sz="4" w:space="0" w:color="000000"/>
              <w:left w:val="nil"/>
              <w:bottom w:val="nil"/>
              <w:right w:val="nil"/>
            </w:tcBorders>
          </w:tcPr>
          <w:p w14:paraId="5E692EEB" w14:textId="77777777" w:rsidR="00C77FA1" w:rsidRPr="006C7E3D" w:rsidRDefault="00C77FA1" w:rsidP="006C7E3D">
            <w:pPr>
              <w:spacing w:line="276" w:lineRule="auto"/>
              <w:ind w:left="245"/>
              <w:jc w:val="both"/>
              <w:rPr>
                <w:rFonts w:ascii="Times New Roman" w:hAnsi="Times New Roman" w:cs="Times New Roman"/>
                <w:sz w:val="24"/>
                <w:szCs w:val="24"/>
              </w:rPr>
            </w:pPr>
            <w:r w:rsidRPr="006C7E3D">
              <w:rPr>
                <w:rFonts w:ascii="Times New Roman" w:hAnsi="Times New Roman" w:cs="Times New Roman"/>
                <w:sz w:val="24"/>
                <w:szCs w:val="24"/>
              </w:rPr>
              <w:t xml:space="preserve">36  </w:t>
            </w:r>
          </w:p>
        </w:tc>
        <w:tc>
          <w:tcPr>
            <w:tcW w:w="1142" w:type="dxa"/>
            <w:tcBorders>
              <w:top w:val="single" w:sz="4" w:space="0" w:color="000000"/>
              <w:left w:val="nil"/>
              <w:bottom w:val="nil"/>
              <w:right w:val="nil"/>
            </w:tcBorders>
          </w:tcPr>
          <w:p w14:paraId="0439D4C7" w14:textId="77777777" w:rsidR="00C77FA1" w:rsidRPr="006C7E3D" w:rsidRDefault="00C77FA1" w:rsidP="006C7E3D">
            <w:pPr>
              <w:spacing w:line="276" w:lineRule="auto"/>
              <w:ind w:left="254"/>
              <w:jc w:val="both"/>
              <w:rPr>
                <w:rFonts w:ascii="Times New Roman" w:hAnsi="Times New Roman" w:cs="Times New Roman"/>
                <w:sz w:val="24"/>
                <w:szCs w:val="24"/>
              </w:rPr>
            </w:pPr>
            <w:r w:rsidRPr="006C7E3D">
              <w:rPr>
                <w:rFonts w:ascii="Times New Roman" w:hAnsi="Times New Roman" w:cs="Times New Roman"/>
                <w:sz w:val="24"/>
                <w:szCs w:val="24"/>
              </w:rPr>
              <w:t xml:space="preserve">16,51  </w:t>
            </w:r>
          </w:p>
        </w:tc>
      </w:tr>
      <w:tr w:rsidR="00C77FA1" w:rsidRPr="006C7E3D" w14:paraId="0253A25F" w14:textId="77777777">
        <w:trPr>
          <w:trHeight w:val="290"/>
        </w:trPr>
        <w:tc>
          <w:tcPr>
            <w:tcW w:w="1525" w:type="dxa"/>
            <w:tcBorders>
              <w:top w:val="nil"/>
              <w:left w:val="nil"/>
              <w:bottom w:val="nil"/>
              <w:right w:val="nil"/>
            </w:tcBorders>
          </w:tcPr>
          <w:p w14:paraId="7657B27B" w14:textId="77777777" w:rsidR="00C77FA1" w:rsidRPr="006C7E3D" w:rsidRDefault="00C77FA1" w:rsidP="006C7E3D">
            <w:pPr>
              <w:spacing w:line="276" w:lineRule="auto"/>
              <w:jc w:val="both"/>
              <w:rPr>
                <w:rFonts w:ascii="Times New Roman" w:hAnsi="Times New Roman" w:cs="Times New Roman"/>
                <w:sz w:val="24"/>
                <w:szCs w:val="24"/>
              </w:rPr>
            </w:pPr>
          </w:p>
        </w:tc>
        <w:tc>
          <w:tcPr>
            <w:tcW w:w="3699" w:type="dxa"/>
            <w:tcBorders>
              <w:top w:val="nil"/>
              <w:left w:val="nil"/>
              <w:bottom w:val="nil"/>
              <w:right w:val="nil"/>
            </w:tcBorders>
          </w:tcPr>
          <w:p w14:paraId="1D67045C" w14:textId="77777777" w:rsidR="00C77FA1" w:rsidRPr="006C7E3D" w:rsidRDefault="00C77FA1" w:rsidP="006C7E3D">
            <w:pPr>
              <w:spacing w:line="276" w:lineRule="auto"/>
              <w:jc w:val="both"/>
              <w:rPr>
                <w:rFonts w:ascii="Times New Roman" w:hAnsi="Times New Roman" w:cs="Times New Roman"/>
                <w:sz w:val="24"/>
                <w:szCs w:val="24"/>
              </w:rPr>
            </w:pPr>
            <w:r w:rsidRPr="006C7E3D">
              <w:rPr>
                <w:rFonts w:ascii="Times New Roman" w:hAnsi="Times New Roman" w:cs="Times New Roman"/>
                <w:sz w:val="24"/>
                <w:szCs w:val="24"/>
              </w:rPr>
              <w:t xml:space="preserve">paracetamol+Salbutamol  </w:t>
            </w:r>
          </w:p>
        </w:tc>
        <w:tc>
          <w:tcPr>
            <w:tcW w:w="987" w:type="dxa"/>
            <w:tcBorders>
              <w:top w:val="nil"/>
              <w:left w:val="nil"/>
              <w:bottom w:val="nil"/>
              <w:right w:val="nil"/>
            </w:tcBorders>
          </w:tcPr>
          <w:p w14:paraId="141EF1A6" w14:textId="77777777" w:rsidR="00C77FA1" w:rsidRPr="006C7E3D" w:rsidRDefault="00C77FA1" w:rsidP="006C7E3D">
            <w:pPr>
              <w:spacing w:line="276" w:lineRule="auto"/>
              <w:ind w:left="245"/>
              <w:jc w:val="both"/>
              <w:rPr>
                <w:rFonts w:ascii="Times New Roman" w:hAnsi="Times New Roman" w:cs="Times New Roman"/>
                <w:sz w:val="24"/>
                <w:szCs w:val="24"/>
              </w:rPr>
            </w:pPr>
            <w:r w:rsidRPr="006C7E3D">
              <w:rPr>
                <w:rFonts w:ascii="Times New Roman" w:hAnsi="Times New Roman" w:cs="Times New Roman"/>
                <w:sz w:val="24"/>
                <w:szCs w:val="24"/>
              </w:rPr>
              <w:t xml:space="preserve">10  </w:t>
            </w:r>
          </w:p>
        </w:tc>
        <w:tc>
          <w:tcPr>
            <w:tcW w:w="1142" w:type="dxa"/>
            <w:tcBorders>
              <w:top w:val="nil"/>
              <w:left w:val="nil"/>
              <w:bottom w:val="nil"/>
              <w:right w:val="nil"/>
            </w:tcBorders>
          </w:tcPr>
          <w:p w14:paraId="022937F0" w14:textId="77777777" w:rsidR="00C77FA1" w:rsidRPr="006C7E3D" w:rsidRDefault="00C77FA1" w:rsidP="006C7E3D">
            <w:pPr>
              <w:spacing w:line="276" w:lineRule="auto"/>
              <w:jc w:val="both"/>
              <w:rPr>
                <w:rFonts w:ascii="Times New Roman" w:hAnsi="Times New Roman" w:cs="Times New Roman"/>
                <w:sz w:val="24"/>
                <w:szCs w:val="24"/>
              </w:rPr>
            </w:pPr>
            <w:r w:rsidRPr="006C7E3D">
              <w:rPr>
                <w:rFonts w:ascii="Times New Roman" w:hAnsi="Times New Roman" w:cs="Times New Roman"/>
                <w:sz w:val="24"/>
                <w:szCs w:val="24"/>
              </w:rPr>
              <w:t xml:space="preserve">4,60  </w:t>
            </w:r>
          </w:p>
        </w:tc>
      </w:tr>
      <w:tr w:rsidR="00C77FA1" w:rsidRPr="006C7E3D" w14:paraId="3C0FE0E3" w14:textId="77777777">
        <w:trPr>
          <w:trHeight w:val="290"/>
        </w:trPr>
        <w:tc>
          <w:tcPr>
            <w:tcW w:w="1525" w:type="dxa"/>
            <w:tcBorders>
              <w:top w:val="nil"/>
              <w:left w:val="nil"/>
              <w:bottom w:val="nil"/>
              <w:right w:val="nil"/>
            </w:tcBorders>
          </w:tcPr>
          <w:p w14:paraId="5D88C21F" w14:textId="77777777" w:rsidR="00C77FA1" w:rsidRPr="006C7E3D" w:rsidRDefault="00C77FA1" w:rsidP="006C7E3D">
            <w:pPr>
              <w:spacing w:line="276" w:lineRule="auto"/>
              <w:jc w:val="both"/>
              <w:rPr>
                <w:rFonts w:ascii="Times New Roman" w:hAnsi="Times New Roman" w:cs="Times New Roman"/>
                <w:sz w:val="24"/>
                <w:szCs w:val="24"/>
              </w:rPr>
            </w:pPr>
          </w:p>
        </w:tc>
        <w:tc>
          <w:tcPr>
            <w:tcW w:w="3699" w:type="dxa"/>
            <w:tcBorders>
              <w:top w:val="nil"/>
              <w:left w:val="nil"/>
              <w:bottom w:val="nil"/>
              <w:right w:val="nil"/>
            </w:tcBorders>
          </w:tcPr>
          <w:p w14:paraId="628C0528" w14:textId="77777777" w:rsidR="00C77FA1" w:rsidRPr="006C7E3D" w:rsidRDefault="00C77FA1" w:rsidP="006C7E3D">
            <w:pPr>
              <w:spacing w:line="276" w:lineRule="auto"/>
              <w:jc w:val="both"/>
              <w:rPr>
                <w:rFonts w:ascii="Times New Roman" w:hAnsi="Times New Roman" w:cs="Times New Roman"/>
                <w:sz w:val="24"/>
                <w:szCs w:val="24"/>
              </w:rPr>
            </w:pPr>
            <w:r w:rsidRPr="006C7E3D">
              <w:rPr>
                <w:rFonts w:ascii="Times New Roman" w:hAnsi="Times New Roman" w:cs="Times New Roman"/>
                <w:sz w:val="24"/>
                <w:szCs w:val="24"/>
              </w:rPr>
              <w:t xml:space="preserve">CTM+Ambroxol  </w:t>
            </w:r>
          </w:p>
        </w:tc>
        <w:tc>
          <w:tcPr>
            <w:tcW w:w="987" w:type="dxa"/>
            <w:tcBorders>
              <w:top w:val="nil"/>
              <w:left w:val="nil"/>
              <w:bottom w:val="nil"/>
              <w:right w:val="nil"/>
            </w:tcBorders>
          </w:tcPr>
          <w:p w14:paraId="30AEC94A" w14:textId="77777777" w:rsidR="00C77FA1" w:rsidRPr="006C7E3D" w:rsidRDefault="00C77FA1" w:rsidP="006C7E3D">
            <w:pPr>
              <w:spacing w:line="276" w:lineRule="auto"/>
              <w:ind w:left="300"/>
              <w:jc w:val="both"/>
              <w:rPr>
                <w:rFonts w:ascii="Times New Roman" w:hAnsi="Times New Roman" w:cs="Times New Roman"/>
                <w:sz w:val="24"/>
                <w:szCs w:val="24"/>
              </w:rPr>
            </w:pPr>
            <w:r w:rsidRPr="006C7E3D">
              <w:rPr>
                <w:rFonts w:ascii="Times New Roman" w:hAnsi="Times New Roman" w:cs="Times New Roman"/>
                <w:sz w:val="24"/>
                <w:szCs w:val="24"/>
              </w:rPr>
              <w:t xml:space="preserve">8  </w:t>
            </w:r>
          </w:p>
        </w:tc>
        <w:tc>
          <w:tcPr>
            <w:tcW w:w="1142" w:type="dxa"/>
            <w:tcBorders>
              <w:top w:val="nil"/>
              <w:left w:val="nil"/>
              <w:bottom w:val="nil"/>
              <w:right w:val="nil"/>
            </w:tcBorders>
          </w:tcPr>
          <w:p w14:paraId="3C6CFC17" w14:textId="77777777" w:rsidR="00C77FA1" w:rsidRPr="006C7E3D" w:rsidRDefault="00C77FA1" w:rsidP="006C7E3D">
            <w:pPr>
              <w:spacing w:line="276" w:lineRule="auto"/>
              <w:jc w:val="both"/>
              <w:rPr>
                <w:rFonts w:ascii="Times New Roman" w:hAnsi="Times New Roman" w:cs="Times New Roman"/>
                <w:sz w:val="24"/>
                <w:szCs w:val="24"/>
              </w:rPr>
            </w:pPr>
            <w:r w:rsidRPr="006C7E3D">
              <w:rPr>
                <w:rFonts w:ascii="Times New Roman" w:hAnsi="Times New Roman" w:cs="Times New Roman"/>
                <w:sz w:val="24"/>
                <w:szCs w:val="24"/>
              </w:rPr>
              <w:t xml:space="preserve">3,66  </w:t>
            </w:r>
          </w:p>
        </w:tc>
      </w:tr>
      <w:tr w:rsidR="00C77FA1" w:rsidRPr="006C7E3D" w14:paraId="0D1E2485" w14:textId="77777777">
        <w:trPr>
          <w:trHeight w:val="290"/>
        </w:trPr>
        <w:tc>
          <w:tcPr>
            <w:tcW w:w="1525" w:type="dxa"/>
            <w:tcBorders>
              <w:top w:val="nil"/>
              <w:left w:val="nil"/>
              <w:bottom w:val="nil"/>
              <w:right w:val="nil"/>
            </w:tcBorders>
          </w:tcPr>
          <w:p w14:paraId="483338D5" w14:textId="77777777" w:rsidR="00C77FA1" w:rsidRPr="006C7E3D" w:rsidRDefault="00C77FA1" w:rsidP="006C7E3D">
            <w:pPr>
              <w:spacing w:line="276" w:lineRule="auto"/>
              <w:jc w:val="both"/>
              <w:rPr>
                <w:rFonts w:ascii="Times New Roman" w:hAnsi="Times New Roman" w:cs="Times New Roman"/>
                <w:sz w:val="24"/>
                <w:szCs w:val="24"/>
              </w:rPr>
            </w:pPr>
          </w:p>
        </w:tc>
        <w:tc>
          <w:tcPr>
            <w:tcW w:w="3699" w:type="dxa"/>
            <w:tcBorders>
              <w:top w:val="nil"/>
              <w:left w:val="nil"/>
              <w:bottom w:val="nil"/>
              <w:right w:val="nil"/>
            </w:tcBorders>
          </w:tcPr>
          <w:p w14:paraId="70183172" w14:textId="77777777" w:rsidR="00C77FA1" w:rsidRPr="006C7E3D" w:rsidRDefault="00C77FA1" w:rsidP="006C7E3D">
            <w:pPr>
              <w:spacing w:line="276" w:lineRule="auto"/>
              <w:jc w:val="both"/>
              <w:rPr>
                <w:rFonts w:ascii="Times New Roman" w:hAnsi="Times New Roman" w:cs="Times New Roman"/>
                <w:sz w:val="24"/>
                <w:szCs w:val="24"/>
              </w:rPr>
            </w:pPr>
            <w:r w:rsidRPr="006C7E3D">
              <w:rPr>
                <w:rFonts w:ascii="Times New Roman" w:hAnsi="Times New Roman" w:cs="Times New Roman"/>
                <w:sz w:val="24"/>
                <w:szCs w:val="24"/>
              </w:rPr>
              <w:t xml:space="preserve">Paracetamol Sirup+Amoksisisilin Sirup  </w:t>
            </w:r>
          </w:p>
        </w:tc>
        <w:tc>
          <w:tcPr>
            <w:tcW w:w="987" w:type="dxa"/>
            <w:tcBorders>
              <w:top w:val="nil"/>
              <w:left w:val="nil"/>
              <w:bottom w:val="nil"/>
              <w:right w:val="nil"/>
            </w:tcBorders>
          </w:tcPr>
          <w:p w14:paraId="6B2DDC18" w14:textId="77777777" w:rsidR="00C77FA1" w:rsidRPr="006C7E3D" w:rsidRDefault="00C77FA1" w:rsidP="006C7E3D">
            <w:pPr>
              <w:spacing w:line="276" w:lineRule="auto"/>
              <w:ind w:left="245"/>
              <w:jc w:val="both"/>
              <w:rPr>
                <w:rFonts w:ascii="Times New Roman" w:hAnsi="Times New Roman" w:cs="Times New Roman"/>
                <w:sz w:val="24"/>
                <w:szCs w:val="24"/>
              </w:rPr>
            </w:pPr>
            <w:r w:rsidRPr="006C7E3D">
              <w:rPr>
                <w:rFonts w:ascii="Times New Roman" w:hAnsi="Times New Roman" w:cs="Times New Roman"/>
                <w:sz w:val="24"/>
                <w:szCs w:val="24"/>
              </w:rPr>
              <w:t xml:space="preserve">10  </w:t>
            </w:r>
          </w:p>
        </w:tc>
        <w:tc>
          <w:tcPr>
            <w:tcW w:w="1142" w:type="dxa"/>
            <w:tcBorders>
              <w:top w:val="nil"/>
              <w:left w:val="nil"/>
              <w:bottom w:val="nil"/>
              <w:right w:val="nil"/>
            </w:tcBorders>
          </w:tcPr>
          <w:p w14:paraId="59618452" w14:textId="77777777" w:rsidR="00C77FA1" w:rsidRPr="006C7E3D" w:rsidRDefault="00C77FA1" w:rsidP="006C7E3D">
            <w:pPr>
              <w:spacing w:line="276" w:lineRule="auto"/>
              <w:jc w:val="both"/>
              <w:rPr>
                <w:rFonts w:ascii="Times New Roman" w:hAnsi="Times New Roman" w:cs="Times New Roman"/>
                <w:sz w:val="24"/>
                <w:szCs w:val="24"/>
              </w:rPr>
            </w:pPr>
            <w:r w:rsidRPr="006C7E3D">
              <w:rPr>
                <w:rFonts w:ascii="Times New Roman" w:hAnsi="Times New Roman" w:cs="Times New Roman"/>
                <w:sz w:val="24"/>
                <w:szCs w:val="24"/>
              </w:rPr>
              <w:t xml:space="preserve">4,60  </w:t>
            </w:r>
          </w:p>
        </w:tc>
      </w:tr>
      <w:tr w:rsidR="00C77FA1" w:rsidRPr="006C7E3D" w14:paraId="30B504F7" w14:textId="77777777">
        <w:trPr>
          <w:trHeight w:val="277"/>
        </w:trPr>
        <w:tc>
          <w:tcPr>
            <w:tcW w:w="1525" w:type="dxa"/>
            <w:tcBorders>
              <w:top w:val="nil"/>
              <w:left w:val="nil"/>
              <w:bottom w:val="single" w:sz="4" w:space="0" w:color="000000"/>
              <w:right w:val="nil"/>
            </w:tcBorders>
          </w:tcPr>
          <w:p w14:paraId="586BB6EA" w14:textId="77777777" w:rsidR="00C77FA1" w:rsidRPr="006C7E3D" w:rsidRDefault="00C77FA1" w:rsidP="006C7E3D">
            <w:pPr>
              <w:spacing w:line="276" w:lineRule="auto"/>
              <w:jc w:val="both"/>
              <w:rPr>
                <w:rFonts w:ascii="Times New Roman" w:hAnsi="Times New Roman" w:cs="Times New Roman"/>
                <w:sz w:val="24"/>
                <w:szCs w:val="24"/>
              </w:rPr>
            </w:pPr>
            <w:r w:rsidRPr="006C7E3D">
              <w:rPr>
                <w:rFonts w:ascii="Times New Roman" w:hAnsi="Times New Roman" w:cs="Times New Roman"/>
                <w:sz w:val="24"/>
                <w:szCs w:val="24"/>
              </w:rPr>
              <w:t xml:space="preserve">  </w:t>
            </w:r>
          </w:p>
        </w:tc>
        <w:tc>
          <w:tcPr>
            <w:tcW w:w="3699" w:type="dxa"/>
            <w:tcBorders>
              <w:top w:val="nil"/>
              <w:left w:val="nil"/>
              <w:bottom w:val="single" w:sz="4" w:space="0" w:color="000000"/>
              <w:right w:val="nil"/>
            </w:tcBorders>
          </w:tcPr>
          <w:p w14:paraId="37551C7B" w14:textId="77777777" w:rsidR="00C77FA1" w:rsidRPr="006C7E3D" w:rsidRDefault="00C77FA1" w:rsidP="006C7E3D">
            <w:pPr>
              <w:spacing w:line="276" w:lineRule="auto"/>
              <w:jc w:val="both"/>
              <w:rPr>
                <w:rFonts w:ascii="Times New Roman" w:hAnsi="Times New Roman" w:cs="Times New Roman"/>
                <w:sz w:val="24"/>
                <w:szCs w:val="24"/>
              </w:rPr>
            </w:pPr>
            <w:r w:rsidRPr="006C7E3D">
              <w:rPr>
                <w:rFonts w:ascii="Times New Roman" w:hAnsi="Times New Roman" w:cs="Times New Roman"/>
                <w:sz w:val="24"/>
                <w:szCs w:val="24"/>
              </w:rPr>
              <w:t xml:space="preserve">Paracetamol+Vitc  </w:t>
            </w:r>
          </w:p>
        </w:tc>
        <w:tc>
          <w:tcPr>
            <w:tcW w:w="987" w:type="dxa"/>
            <w:tcBorders>
              <w:top w:val="nil"/>
              <w:left w:val="nil"/>
              <w:bottom w:val="single" w:sz="4" w:space="0" w:color="000000"/>
              <w:right w:val="nil"/>
            </w:tcBorders>
          </w:tcPr>
          <w:p w14:paraId="57325C9F" w14:textId="77777777" w:rsidR="00C77FA1" w:rsidRPr="006C7E3D" w:rsidRDefault="00C77FA1" w:rsidP="006C7E3D">
            <w:pPr>
              <w:spacing w:line="276" w:lineRule="auto"/>
              <w:ind w:left="300"/>
              <w:jc w:val="both"/>
              <w:rPr>
                <w:rFonts w:ascii="Times New Roman" w:hAnsi="Times New Roman" w:cs="Times New Roman"/>
                <w:sz w:val="24"/>
                <w:szCs w:val="24"/>
              </w:rPr>
            </w:pPr>
            <w:r w:rsidRPr="006C7E3D">
              <w:rPr>
                <w:rFonts w:ascii="Times New Roman" w:hAnsi="Times New Roman" w:cs="Times New Roman"/>
                <w:sz w:val="24"/>
                <w:szCs w:val="24"/>
              </w:rPr>
              <w:t xml:space="preserve">9  </w:t>
            </w:r>
          </w:p>
        </w:tc>
        <w:tc>
          <w:tcPr>
            <w:tcW w:w="1142" w:type="dxa"/>
            <w:tcBorders>
              <w:top w:val="nil"/>
              <w:left w:val="nil"/>
              <w:bottom w:val="single" w:sz="4" w:space="0" w:color="000000"/>
              <w:right w:val="nil"/>
            </w:tcBorders>
          </w:tcPr>
          <w:p w14:paraId="4218139B" w14:textId="77777777" w:rsidR="00C77FA1" w:rsidRPr="006C7E3D" w:rsidRDefault="00C77FA1" w:rsidP="006C7E3D">
            <w:pPr>
              <w:spacing w:line="276" w:lineRule="auto"/>
              <w:jc w:val="both"/>
              <w:rPr>
                <w:rFonts w:ascii="Times New Roman" w:hAnsi="Times New Roman" w:cs="Times New Roman"/>
                <w:sz w:val="24"/>
                <w:szCs w:val="24"/>
              </w:rPr>
            </w:pPr>
            <w:r w:rsidRPr="006C7E3D">
              <w:rPr>
                <w:rFonts w:ascii="Times New Roman" w:hAnsi="Times New Roman" w:cs="Times New Roman"/>
                <w:sz w:val="24"/>
                <w:szCs w:val="24"/>
              </w:rPr>
              <w:t xml:space="preserve">4,12  </w:t>
            </w:r>
          </w:p>
        </w:tc>
      </w:tr>
      <w:tr w:rsidR="00C77FA1" w:rsidRPr="006C7E3D" w14:paraId="43809BEE" w14:textId="77777777">
        <w:trPr>
          <w:trHeight w:val="312"/>
        </w:trPr>
        <w:tc>
          <w:tcPr>
            <w:tcW w:w="1525" w:type="dxa"/>
            <w:tcBorders>
              <w:top w:val="single" w:sz="4" w:space="0" w:color="000000"/>
              <w:left w:val="nil"/>
              <w:bottom w:val="nil"/>
              <w:right w:val="nil"/>
            </w:tcBorders>
          </w:tcPr>
          <w:p w14:paraId="2B8C4189" w14:textId="77777777" w:rsidR="00C77FA1" w:rsidRPr="006C7E3D" w:rsidRDefault="00C77FA1" w:rsidP="006C7E3D">
            <w:pPr>
              <w:spacing w:line="276" w:lineRule="auto"/>
              <w:ind w:left="122"/>
              <w:jc w:val="both"/>
              <w:rPr>
                <w:rFonts w:ascii="Times New Roman" w:hAnsi="Times New Roman" w:cs="Times New Roman"/>
                <w:sz w:val="24"/>
                <w:szCs w:val="24"/>
              </w:rPr>
            </w:pPr>
            <w:r w:rsidRPr="006C7E3D">
              <w:rPr>
                <w:rFonts w:ascii="Times New Roman" w:hAnsi="Times New Roman" w:cs="Times New Roman"/>
                <w:sz w:val="24"/>
                <w:szCs w:val="24"/>
              </w:rPr>
              <w:t xml:space="preserve">3 Kombinasi  </w:t>
            </w:r>
          </w:p>
        </w:tc>
        <w:tc>
          <w:tcPr>
            <w:tcW w:w="3699" w:type="dxa"/>
            <w:tcBorders>
              <w:top w:val="single" w:sz="4" w:space="0" w:color="000000"/>
              <w:left w:val="nil"/>
              <w:bottom w:val="nil"/>
              <w:right w:val="nil"/>
            </w:tcBorders>
          </w:tcPr>
          <w:p w14:paraId="3EBAFB63" w14:textId="77777777" w:rsidR="00C77FA1" w:rsidRPr="006C7E3D" w:rsidRDefault="00C77FA1" w:rsidP="006C7E3D">
            <w:pPr>
              <w:spacing w:line="276" w:lineRule="auto"/>
              <w:ind w:left="127"/>
              <w:jc w:val="both"/>
              <w:rPr>
                <w:rFonts w:ascii="Times New Roman" w:hAnsi="Times New Roman" w:cs="Times New Roman"/>
                <w:sz w:val="24"/>
                <w:szCs w:val="24"/>
              </w:rPr>
            </w:pPr>
            <w:r w:rsidRPr="006C7E3D">
              <w:rPr>
                <w:rFonts w:ascii="Times New Roman" w:hAnsi="Times New Roman" w:cs="Times New Roman"/>
                <w:sz w:val="24"/>
                <w:szCs w:val="24"/>
              </w:rPr>
              <w:t xml:space="preserve">Paracetamol+Salbutamol+Ambroxol  </w:t>
            </w:r>
          </w:p>
        </w:tc>
        <w:tc>
          <w:tcPr>
            <w:tcW w:w="987" w:type="dxa"/>
            <w:tcBorders>
              <w:top w:val="single" w:sz="4" w:space="0" w:color="000000"/>
              <w:left w:val="nil"/>
              <w:bottom w:val="nil"/>
              <w:right w:val="nil"/>
            </w:tcBorders>
          </w:tcPr>
          <w:p w14:paraId="264ADDE8" w14:textId="77777777" w:rsidR="00C77FA1" w:rsidRPr="006C7E3D" w:rsidRDefault="00C77FA1" w:rsidP="006C7E3D">
            <w:pPr>
              <w:spacing w:line="276" w:lineRule="auto"/>
              <w:ind w:left="245"/>
              <w:jc w:val="both"/>
              <w:rPr>
                <w:rFonts w:ascii="Times New Roman" w:hAnsi="Times New Roman" w:cs="Times New Roman"/>
                <w:sz w:val="24"/>
                <w:szCs w:val="24"/>
              </w:rPr>
            </w:pPr>
            <w:r w:rsidRPr="006C7E3D">
              <w:rPr>
                <w:rFonts w:ascii="Times New Roman" w:hAnsi="Times New Roman" w:cs="Times New Roman"/>
                <w:sz w:val="24"/>
                <w:szCs w:val="24"/>
              </w:rPr>
              <w:t xml:space="preserve">21  </w:t>
            </w:r>
          </w:p>
        </w:tc>
        <w:tc>
          <w:tcPr>
            <w:tcW w:w="1142" w:type="dxa"/>
            <w:tcBorders>
              <w:top w:val="single" w:sz="4" w:space="0" w:color="000000"/>
              <w:left w:val="nil"/>
              <w:bottom w:val="nil"/>
              <w:right w:val="nil"/>
            </w:tcBorders>
          </w:tcPr>
          <w:p w14:paraId="212FD810" w14:textId="77777777" w:rsidR="00C77FA1" w:rsidRPr="006C7E3D" w:rsidRDefault="00C77FA1" w:rsidP="006C7E3D">
            <w:pPr>
              <w:spacing w:line="276" w:lineRule="auto"/>
              <w:jc w:val="both"/>
              <w:rPr>
                <w:rFonts w:ascii="Times New Roman" w:hAnsi="Times New Roman" w:cs="Times New Roman"/>
                <w:sz w:val="24"/>
                <w:szCs w:val="24"/>
              </w:rPr>
            </w:pPr>
            <w:r w:rsidRPr="006C7E3D">
              <w:rPr>
                <w:rFonts w:ascii="Times New Roman" w:hAnsi="Times New Roman" w:cs="Times New Roman"/>
                <w:sz w:val="24"/>
                <w:szCs w:val="24"/>
              </w:rPr>
              <w:t xml:space="preserve">9,63  </w:t>
            </w:r>
          </w:p>
        </w:tc>
      </w:tr>
      <w:tr w:rsidR="00C77FA1" w:rsidRPr="006C7E3D" w14:paraId="7919EB39" w14:textId="77777777">
        <w:trPr>
          <w:trHeight w:val="289"/>
        </w:trPr>
        <w:tc>
          <w:tcPr>
            <w:tcW w:w="1525" w:type="dxa"/>
            <w:tcBorders>
              <w:top w:val="nil"/>
              <w:left w:val="nil"/>
              <w:bottom w:val="nil"/>
              <w:right w:val="nil"/>
            </w:tcBorders>
          </w:tcPr>
          <w:p w14:paraId="37EAC331" w14:textId="77777777" w:rsidR="00C77FA1" w:rsidRPr="006C7E3D" w:rsidRDefault="00C77FA1" w:rsidP="006C7E3D">
            <w:pPr>
              <w:spacing w:line="276" w:lineRule="auto"/>
              <w:jc w:val="both"/>
              <w:rPr>
                <w:rFonts w:ascii="Times New Roman" w:hAnsi="Times New Roman" w:cs="Times New Roman"/>
                <w:sz w:val="24"/>
                <w:szCs w:val="24"/>
              </w:rPr>
            </w:pPr>
          </w:p>
        </w:tc>
        <w:tc>
          <w:tcPr>
            <w:tcW w:w="3699" w:type="dxa"/>
            <w:tcBorders>
              <w:top w:val="nil"/>
              <w:left w:val="nil"/>
              <w:bottom w:val="nil"/>
              <w:right w:val="nil"/>
            </w:tcBorders>
          </w:tcPr>
          <w:p w14:paraId="444EFE73" w14:textId="77777777" w:rsidR="00C77FA1" w:rsidRPr="006C7E3D" w:rsidRDefault="00C77FA1" w:rsidP="006C7E3D">
            <w:pPr>
              <w:spacing w:line="276" w:lineRule="auto"/>
              <w:ind w:left="326"/>
              <w:jc w:val="both"/>
              <w:rPr>
                <w:rFonts w:ascii="Times New Roman" w:hAnsi="Times New Roman" w:cs="Times New Roman"/>
                <w:sz w:val="24"/>
                <w:szCs w:val="24"/>
              </w:rPr>
            </w:pPr>
            <w:r w:rsidRPr="006C7E3D">
              <w:rPr>
                <w:rFonts w:ascii="Times New Roman" w:hAnsi="Times New Roman" w:cs="Times New Roman"/>
                <w:sz w:val="24"/>
                <w:szCs w:val="24"/>
              </w:rPr>
              <w:t xml:space="preserve">Amoxisillin+Vit C+Guaifenesin  </w:t>
            </w:r>
          </w:p>
        </w:tc>
        <w:tc>
          <w:tcPr>
            <w:tcW w:w="987" w:type="dxa"/>
            <w:tcBorders>
              <w:top w:val="nil"/>
              <w:left w:val="nil"/>
              <w:bottom w:val="nil"/>
              <w:right w:val="nil"/>
            </w:tcBorders>
          </w:tcPr>
          <w:p w14:paraId="25845ED7" w14:textId="77777777" w:rsidR="00C77FA1" w:rsidRPr="006C7E3D" w:rsidRDefault="00C77FA1" w:rsidP="006C7E3D">
            <w:pPr>
              <w:spacing w:line="276" w:lineRule="auto"/>
              <w:ind w:left="300"/>
              <w:jc w:val="both"/>
              <w:rPr>
                <w:rFonts w:ascii="Times New Roman" w:hAnsi="Times New Roman" w:cs="Times New Roman"/>
                <w:sz w:val="24"/>
                <w:szCs w:val="24"/>
              </w:rPr>
            </w:pPr>
            <w:r w:rsidRPr="006C7E3D">
              <w:rPr>
                <w:rFonts w:ascii="Times New Roman" w:hAnsi="Times New Roman" w:cs="Times New Roman"/>
                <w:sz w:val="24"/>
                <w:szCs w:val="24"/>
              </w:rPr>
              <w:t xml:space="preserve">6  </w:t>
            </w:r>
          </w:p>
        </w:tc>
        <w:tc>
          <w:tcPr>
            <w:tcW w:w="1142" w:type="dxa"/>
            <w:tcBorders>
              <w:top w:val="nil"/>
              <w:left w:val="nil"/>
              <w:bottom w:val="nil"/>
              <w:right w:val="nil"/>
            </w:tcBorders>
          </w:tcPr>
          <w:p w14:paraId="62372882" w14:textId="77777777" w:rsidR="00C77FA1" w:rsidRPr="006C7E3D" w:rsidRDefault="00C77FA1" w:rsidP="006C7E3D">
            <w:pPr>
              <w:spacing w:line="276" w:lineRule="auto"/>
              <w:jc w:val="both"/>
              <w:rPr>
                <w:rFonts w:ascii="Times New Roman" w:hAnsi="Times New Roman" w:cs="Times New Roman"/>
                <w:sz w:val="24"/>
                <w:szCs w:val="24"/>
              </w:rPr>
            </w:pPr>
            <w:r w:rsidRPr="006C7E3D">
              <w:rPr>
                <w:rFonts w:ascii="Times New Roman" w:hAnsi="Times New Roman" w:cs="Times New Roman"/>
                <w:sz w:val="24"/>
                <w:szCs w:val="24"/>
              </w:rPr>
              <w:t xml:space="preserve">2,75  </w:t>
            </w:r>
          </w:p>
        </w:tc>
      </w:tr>
      <w:tr w:rsidR="00C77FA1" w:rsidRPr="006C7E3D" w14:paraId="70463927" w14:textId="77777777">
        <w:trPr>
          <w:trHeight w:val="290"/>
        </w:trPr>
        <w:tc>
          <w:tcPr>
            <w:tcW w:w="1525" w:type="dxa"/>
            <w:tcBorders>
              <w:top w:val="nil"/>
              <w:left w:val="nil"/>
              <w:bottom w:val="nil"/>
              <w:right w:val="nil"/>
            </w:tcBorders>
          </w:tcPr>
          <w:p w14:paraId="7261EE67" w14:textId="77777777" w:rsidR="00C77FA1" w:rsidRPr="006C7E3D" w:rsidRDefault="00C77FA1" w:rsidP="006C7E3D">
            <w:pPr>
              <w:spacing w:line="276" w:lineRule="auto"/>
              <w:jc w:val="both"/>
              <w:rPr>
                <w:rFonts w:ascii="Times New Roman" w:hAnsi="Times New Roman" w:cs="Times New Roman"/>
                <w:sz w:val="24"/>
                <w:szCs w:val="24"/>
              </w:rPr>
            </w:pPr>
          </w:p>
        </w:tc>
        <w:tc>
          <w:tcPr>
            <w:tcW w:w="3699" w:type="dxa"/>
            <w:tcBorders>
              <w:top w:val="nil"/>
              <w:left w:val="nil"/>
              <w:bottom w:val="nil"/>
              <w:right w:val="nil"/>
            </w:tcBorders>
          </w:tcPr>
          <w:p w14:paraId="3203D9A2" w14:textId="77777777" w:rsidR="00C77FA1" w:rsidRPr="006C7E3D" w:rsidRDefault="00C77FA1" w:rsidP="006C7E3D">
            <w:pPr>
              <w:spacing w:line="276" w:lineRule="auto"/>
              <w:ind w:left="310"/>
              <w:jc w:val="both"/>
              <w:rPr>
                <w:rFonts w:ascii="Times New Roman" w:hAnsi="Times New Roman" w:cs="Times New Roman"/>
                <w:sz w:val="24"/>
                <w:szCs w:val="24"/>
              </w:rPr>
            </w:pPr>
            <w:r w:rsidRPr="006C7E3D">
              <w:rPr>
                <w:rFonts w:ascii="Times New Roman" w:hAnsi="Times New Roman" w:cs="Times New Roman"/>
                <w:sz w:val="24"/>
                <w:szCs w:val="24"/>
              </w:rPr>
              <w:t xml:space="preserve">Paracetamol+CTM+Guaifenesin  </w:t>
            </w:r>
          </w:p>
        </w:tc>
        <w:tc>
          <w:tcPr>
            <w:tcW w:w="987" w:type="dxa"/>
            <w:tcBorders>
              <w:top w:val="nil"/>
              <w:left w:val="nil"/>
              <w:bottom w:val="nil"/>
              <w:right w:val="nil"/>
            </w:tcBorders>
          </w:tcPr>
          <w:p w14:paraId="58C0EB33" w14:textId="77777777" w:rsidR="00C77FA1" w:rsidRPr="006C7E3D" w:rsidRDefault="00C77FA1" w:rsidP="006C7E3D">
            <w:pPr>
              <w:spacing w:line="276" w:lineRule="auto"/>
              <w:ind w:left="245"/>
              <w:jc w:val="both"/>
              <w:rPr>
                <w:rFonts w:ascii="Times New Roman" w:hAnsi="Times New Roman" w:cs="Times New Roman"/>
                <w:sz w:val="24"/>
                <w:szCs w:val="24"/>
              </w:rPr>
            </w:pPr>
            <w:r w:rsidRPr="006C7E3D">
              <w:rPr>
                <w:rFonts w:ascii="Times New Roman" w:hAnsi="Times New Roman" w:cs="Times New Roman"/>
                <w:sz w:val="24"/>
                <w:szCs w:val="24"/>
              </w:rPr>
              <w:t xml:space="preserve">19  </w:t>
            </w:r>
          </w:p>
        </w:tc>
        <w:tc>
          <w:tcPr>
            <w:tcW w:w="1142" w:type="dxa"/>
            <w:tcBorders>
              <w:top w:val="nil"/>
              <w:left w:val="nil"/>
              <w:bottom w:val="nil"/>
              <w:right w:val="nil"/>
            </w:tcBorders>
          </w:tcPr>
          <w:p w14:paraId="7C0BEB13" w14:textId="77777777" w:rsidR="00C77FA1" w:rsidRPr="006C7E3D" w:rsidRDefault="00C77FA1" w:rsidP="006C7E3D">
            <w:pPr>
              <w:spacing w:line="276" w:lineRule="auto"/>
              <w:jc w:val="both"/>
              <w:rPr>
                <w:rFonts w:ascii="Times New Roman" w:hAnsi="Times New Roman" w:cs="Times New Roman"/>
                <w:sz w:val="24"/>
                <w:szCs w:val="24"/>
              </w:rPr>
            </w:pPr>
            <w:r w:rsidRPr="006C7E3D">
              <w:rPr>
                <w:rFonts w:ascii="Times New Roman" w:hAnsi="Times New Roman" w:cs="Times New Roman"/>
                <w:sz w:val="24"/>
                <w:szCs w:val="24"/>
              </w:rPr>
              <w:t xml:space="preserve">8,71  </w:t>
            </w:r>
          </w:p>
        </w:tc>
      </w:tr>
      <w:tr w:rsidR="00C77FA1" w:rsidRPr="006C7E3D" w14:paraId="5C708A43" w14:textId="77777777">
        <w:trPr>
          <w:trHeight w:val="291"/>
        </w:trPr>
        <w:tc>
          <w:tcPr>
            <w:tcW w:w="1525" w:type="dxa"/>
            <w:tcBorders>
              <w:top w:val="nil"/>
              <w:left w:val="nil"/>
              <w:bottom w:val="nil"/>
              <w:right w:val="nil"/>
            </w:tcBorders>
          </w:tcPr>
          <w:p w14:paraId="510B73BE" w14:textId="77777777" w:rsidR="00C77FA1" w:rsidRPr="006C7E3D" w:rsidRDefault="00C77FA1" w:rsidP="006C7E3D">
            <w:pPr>
              <w:spacing w:line="276" w:lineRule="auto"/>
              <w:jc w:val="both"/>
              <w:rPr>
                <w:rFonts w:ascii="Times New Roman" w:hAnsi="Times New Roman" w:cs="Times New Roman"/>
                <w:sz w:val="24"/>
                <w:szCs w:val="24"/>
              </w:rPr>
            </w:pPr>
          </w:p>
        </w:tc>
        <w:tc>
          <w:tcPr>
            <w:tcW w:w="3699" w:type="dxa"/>
            <w:tcBorders>
              <w:top w:val="nil"/>
              <w:left w:val="nil"/>
              <w:bottom w:val="nil"/>
              <w:right w:val="nil"/>
            </w:tcBorders>
          </w:tcPr>
          <w:p w14:paraId="3F64337D" w14:textId="77777777" w:rsidR="00C77FA1" w:rsidRPr="006C7E3D" w:rsidRDefault="00C77FA1" w:rsidP="006C7E3D">
            <w:pPr>
              <w:spacing w:line="276" w:lineRule="auto"/>
              <w:ind w:left="391"/>
              <w:jc w:val="both"/>
              <w:rPr>
                <w:rFonts w:ascii="Times New Roman" w:hAnsi="Times New Roman" w:cs="Times New Roman"/>
                <w:sz w:val="24"/>
                <w:szCs w:val="24"/>
              </w:rPr>
            </w:pPr>
            <w:r w:rsidRPr="006C7E3D">
              <w:rPr>
                <w:rFonts w:ascii="Times New Roman" w:hAnsi="Times New Roman" w:cs="Times New Roman"/>
                <w:sz w:val="24"/>
                <w:szCs w:val="24"/>
              </w:rPr>
              <w:t xml:space="preserve">Paracetamol+CTM+Ambroxol  </w:t>
            </w:r>
          </w:p>
        </w:tc>
        <w:tc>
          <w:tcPr>
            <w:tcW w:w="987" w:type="dxa"/>
            <w:tcBorders>
              <w:top w:val="nil"/>
              <w:left w:val="nil"/>
              <w:bottom w:val="nil"/>
              <w:right w:val="nil"/>
            </w:tcBorders>
          </w:tcPr>
          <w:p w14:paraId="021818BB" w14:textId="77777777" w:rsidR="00C77FA1" w:rsidRPr="006C7E3D" w:rsidRDefault="00C77FA1" w:rsidP="006C7E3D">
            <w:pPr>
              <w:spacing w:line="276" w:lineRule="auto"/>
              <w:ind w:left="245"/>
              <w:jc w:val="both"/>
              <w:rPr>
                <w:rFonts w:ascii="Times New Roman" w:hAnsi="Times New Roman" w:cs="Times New Roman"/>
                <w:sz w:val="24"/>
                <w:szCs w:val="24"/>
              </w:rPr>
            </w:pPr>
            <w:r w:rsidRPr="006C7E3D">
              <w:rPr>
                <w:rFonts w:ascii="Times New Roman" w:hAnsi="Times New Roman" w:cs="Times New Roman"/>
                <w:sz w:val="24"/>
                <w:szCs w:val="24"/>
              </w:rPr>
              <w:t xml:space="preserve">44  </w:t>
            </w:r>
          </w:p>
        </w:tc>
        <w:tc>
          <w:tcPr>
            <w:tcW w:w="1142" w:type="dxa"/>
            <w:tcBorders>
              <w:top w:val="nil"/>
              <w:left w:val="nil"/>
              <w:bottom w:val="nil"/>
              <w:right w:val="nil"/>
            </w:tcBorders>
          </w:tcPr>
          <w:p w14:paraId="71797AFF" w14:textId="77777777" w:rsidR="00C77FA1" w:rsidRPr="006C7E3D" w:rsidRDefault="00C77FA1" w:rsidP="006C7E3D">
            <w:pPr>
              <w:spacing w:line="276" w:lineRule="auto"/>
              <w:ind w:left="254"/>
              <w:jc w:val="both"/>
              <w:rPr>
                <w:rFonts w:ascii="Times New Roman" w:hAnsi="Times New Roman" w:cs="Times New Roman"/>
                <w:sz w:val="24"/>
                <w:szCs w:val="24"/>
              </w:rPr>
            </w:pPr>
            <w:r w:rsidRPr="006C7E3D">
              <w:rPr>
                <w:rFonts w:ascii="Times New Roman" w:hAnsi="Times New Roman" w:cs="Times New Roman"/>
                <w:sz w:val="24"/>
                <w:szCs w:val="24"/>
              </w:rPr>
              <w:t xml:space="preserve">20,18  </w:t>
            </w:r>
          </w:p>
        </w:tc>
      </w:tr>
      <w:tr w:rsidR="00C77FA1" w:rsidRPr="006C7E3D" w14:paraId="08477CCC" w14:textId="77777777">
        <w:trPr>
          <w:trHeight w:val="278"/>
        </w:trPr>
        <w:tc>
          <w:tcPr>
            <w:tcW w:w="1525" w:type="dxa"/>
            <w:tcBorders>
              <w:top w:val="nil"/>
              <w:left w:val="nil"/>
              <w:bottom w:val="single" w:sz="4" w:space="0" w:color="000000"/>
              <w:right w:val="nil"/>
            </w:tcBorders>
          </w:tcPr>
          <w:p w14:paraId="64752665" w14:textId="77777777" w:rsidR="00C77FA1" w:rsidRPr="006C7E3D" w:rsidRDefault="00C77FA1" w:rsidP="006C7E3D">
            <w:pPr>
              <w:spacing w:line="276" w:lineRule="auto"/>
              <w:ind w:left="122"/>
              <w:jc w:val="both"/>
              <w:rPr>
                <w:rFonts w:ascii="Times New Roman" w:hAnsi="Times New Roman" w:cs="Times New Roman"/>
                <w:sz w:val="24"/>
                <w:szCs w:val="24"/>
              </w:rPr>
            </w:pPr>
            <w:r w:rsidRPr="006C7E3D">
              <w:rPr>
                <w:rFonts w:ascii="Times New Roman" w:hAnsi="Times New Roman" w:cs="Times New Roman"/>
                <w:sz w:val="24"/>
                <w:szCs w:val="24"/>
              </w:rPr>
              <w:t xml:space="preserve">  </w:t>
            </w:r>
          </w:p>
        </w:tc>
        <w:tc>
          <w:tcPr>
            <w:tcW w:w="3699" w:type="dxa"/>
            <w:tcBorders>
              <w:top w:val="nil"/>
              <w:left w:val="nil"/>
              <w:bottom w:val="single" w:sz="4" w:space="0" w:color="000000"/>
              <w:right w:val="nil"/>
            </w:tcBorders>
          </w:tcPr>
          <w:p w14:paraId="7D4EECC5" w14:textId="77777777" w:rsidR="00C77FA1" w:rsidRPr="006C7E3D" w:rsidRDefault="00C77FA1" w:rsidP="006C7E3D">
            <w:pPr>
              <w:spacing w:line="276" w:lineRule="auto"/>
              <w:ind w:left="307"/>
              <w:jc w:val="both"/>
              <w:rPr>
                <w:rFonts w:ascii="Times New Roman" w:hAnsi="Times New Roman" w:cs="Times New Roman"/>
                <w:sz w:val="24"/>
                <w:szCs w:val="24"/>
              </w:rPr>
            </w:pPr>
            <w:r w:rsidRPr="006C7E3D">
              <w:rPr>
                <w:rFonts w:ascii="Times New Roman" w:hAnsi="Times New Roman" w:cs="Times New Roman"/>
                <w:sz w:val="24"/>
                <w:szCs w:val="24"/>
              </w:rPr>
              <w:t xml:space="preserve">Paracetamol+Vit C+Guaifenesin  </w:t>
            </w:r>
          </w:p>
        </w:tc>
        <w:tc>
          <w:tcPr>
            <w:tcW w:w="987" w:type="dxa"/>
            <w:tcBorders>
              <w:top w:val="nil"/>
              <w:left w:val="nil"/>
              <w:bottom w:val="single" w:sz="4" w:space="0" w:color="000000"/>
              <w:right w:val="nil"/>
            </w:tcBorders>
          </w:tcPr>
          <w:p w14:paraId="57DE39FA" w14:textId="77777777" w:rsidR="00C77FA1" w:rsidRPr="006C7E3D" w:rsidRDefault="00C77FA1" w:rsidP="006C7E3D">
            <w:pPr>
              <w:spacing w:line="276" w:lineRule="auto"/>
              <w:ind w:left="245"/>
              <w:jc w:val="both"/>
              <w:rPr>
                <w:rFonts w:ascii="Times New Roman" w:hAnsi="Times New Roman" w:cs="Times New Roman"/>
                <w:sz w:val="24"/>
                <w:szCs w:val="24"/>
              </w:rPr>
            </w:pPr>
            <w:r w:rsidRPr="006C7E3D">
              <w:rPr>
                <w:rFonts w:ascii="Times New Roman" w:hAnsi="Times New Roman" w:cs="Times New Roman"/>
                <w:sz w:val="24"/>
                <w:szCs w:val="24"/>
              </w:rPr>
              <w:t xml:space="preserve">26  </w:t>
            </w:r>
          </w:p>
        </w:tc>
        <w:tc>
          <w:tcPr>
            <w:tcW w:w="1142" w:type="dxa"/>
            <w:tcBorders>
              <w:top w:val="nil"/>
              <w:left w:val="nil"/>
              <w:bottom w:val="single" w:sz="4" w:space="0" w:color="000000"/>
              <w:right w:val="nil"/>
            </w:tcBorders>
          </w:tcPr>
          <w:p w14:paraId="036301C4" w14:textId="77777777" w:rsidR="00C77FA1" w:rsidRPr="006C7E3D" w:rsidRDefault="00C77FA1" w:rsidP="006C7E3D">
            <w:pPr>
              <w:spacing w:line="276" w:lineRule="auto"/>
              <w:ind w:left="254"/>
              <w:jc w:val="both"/>
              <w:rPr>
                <w:rFonts w:ascii="Times New Roman" w:hAnsi="Times New Roman" w:cs="Times New Roman"/>
                <w:sz w:val="24"/>
                <w:szCs w:val="24"/>
              </w:rPr>
            </w:pPr>
            <w:r w:rsidRPr="006C7E3D">
              <w:rPr>
                <w:rFonts w:ascii="Times New Roman" w:hAnsi="Times New Roman" w:cs="Times New Roman"/>
                <w:sz w:val="24"/>
                <w:szCs w:val="24"/>
              </w:rPr>
              <w:t xml:space="preserve">11,92  </w:t>
            </w:r>
          </w:p>
        </w:tc>
      </w:tr>
      <w:tr w:rsidR="00C77FA1" w:rsidRPr="006C7E3D" w14:paraId="17FA3E3A" w14:textId="77777777">
        <w:trPr>
          <w:trHeight w:val="763"/>
        </w:trPr>
        <w:tc>
          <w:tcPr>
            <w:tcW w:w="1525" w:type="dxa"/>
            <w:tcBorders>
              <w:top w:val="single" w:sz="4" w:space="0" w:color="000000"/>
              <w:left w:val="nil"/>
              <w:bottom w:val="nil"/>
              <w:right w:val="nil"/>
            </w:tcBorders>
            <w:vAlign w:val="center"/>
          </w:tcPr>
          <w:p w14:paraId="398B4140" w14:textId="77777777" w:rsidR="00C77FA1" w:rsidRPr="006C7E3D" w:rsidRDefault="00C77FA1" w:rsidP="006C7E3D">
            <w:pPr>
              <w:spacing w:line="276" w:lineRule="auto"/>
              <w:ind w:left="122"/>
              <w:jc w:val="both"/>
              <w:rPr>
                <w:rFonts w:ascii="Times New Roman" w:hAnsi="Times New Roman" w:cs="Times New Roman"/>
                <w:sz w:val="24"/>
                <w:szCs w:val="24"/>
              </w:rPr>
            </w:pPr>
            <w:r w:rsidRPr="006C7E3D">
              <w:rPr>
                <w:rFonts w:ascii="Times New Roman" w:hAnsi="Times New Roman" w:cs="Times New Roman"/>
                <w:sz w:val="24"/>
                <w:szCs w:val="24"/>
              </w:rPr>
              <w:t xml:space="preserve">4 Kombinasi  </w:t>
            </w:r>
          </w:p>
        </w:tc>
        <w:tc>
          <w:tcPr>
            <w:tcW w:w="3699" w:type="dxa"/>
            <w:tcBorders>
              <w:top w:val="single" w:sz="4" w:space="0" w:color="000000"/>
              <w:left w:val="nil"/>
              <w:bottom w:val="nil"/>
              <w:right w:val="nil"/>
            </w:tcBorders>
          </w:tcPr>
          <w:p w14:paraId="2E53155C" w14:textId="77777777" w:rsidR="00C77FA1" w:rsidRPr="006C7E3D" w:rsidRDefault="00C77FA1" w:rsidP="006C7E3D">
            <w:pPr>
              <w:ind w:left="293"/>
              <w:jc w:val="both"/>
              <w:rPr>
                <w:rFonts w:ascii="Times New Roman" w:hAnsi="Times New Roman" w:cs="Times New Roman"/>
                <w:sz w:val="24"/>
                <w:szCs w:val="24"/>
              </w:rPr>
            </w:pPr>
            <w:r w:rsidRPr="006C7E3D">
              <w:rPr>
                <w:rFonts w:ascii="Times New Roman" w:hAnsi="Times New Roman" w:cs="Times New Roman"/>
                <w:sz w:val="24"/>
                <w:szCs w:val="24"/>
              </w:rPr>
              <w:t xml:space="preserve">Salbutamol+CTM+Guaifenesin+  </w:t>
            </w:r>
          </w:p>
          <w:p w14:paraId="44672D7C" w14:textId="77777777" w:rsidR="00C77FA1" w:rsidRPr="006C7E3D" w:rsidRDefault="00C77FA1" w:rsidP="006C7E3D">
            <w:pPr>
              <w:jc w:val="both"/>
              <w:rPr>
                <w:rFonts w:ascii="Times New Roman" w:hAnsi="Times New Roman" w:cs="Times New Roman"/>
                <w:sz w:val="24"/>
                <w:szCs w:val="24"/>
              </w:rPr>
            </w:pPr>
            <w:r w:rsidRPr="006C7E3D">
              <w:rPr>
                <w:rFonts w:ascii="Times New Roman" w:hAnsi="Times New Roman" w:cs="Times New Roman"/>
                <w:sz w:val="24"/>
                <w:szCs w:val="24"/>
              </w:rPr>
              <w:t xml:space="preserve">Paracetamol  </w:t>
            </w:r>
          </w:p>
          <w:p w14:paraId="4548B754" w14:textId="77777777" w:rsidR="00C77FA1" w:rsidRPr="006C7E3D" w:rsidRDefault="00C77FA1" w:rsidP="006C7E3D">
            <w:pPr>
              <w:spacing w:line="276" w:lineRule="auto"/>
              <w:ind w:left="211"/>
              <w:jc w:val="both"/>
              <w:rPr>
                <w:rFonts w:ascii="Times New Roman" w:hAnsi="Times New Roman" w:cs="Times New Roman"/>
                <w:sz w:val="24"/>
                <w:szCs w:val="24"/>
              </w:rPr>
            </w:pPr>
            <w:r w:rsidRPr="006C7E3D">
              <w:rPr>
                <w:rFonts w:ascii="Times New Roman" w:hAnsi="Times New Roman" w:cs="Times New Roman"/>
                <w:sz w:val="24"/>
                <w:szCs w:val="24"/>
              </w:rPr>
              <w:t xml:space="preserve">Amoksisillin+Paracetamol+CTM+ </w:t>
            </w:r>
          </w:p>
        </w:tc>
        <w:tc>
          <w:tcPr>
            <w:tcW w:w="987" w:type="dxa"/>
            <w:tcBorders>
              <w:top w:val="single" w:sz="4" w:space="0" w:color="000000"/>
              <w:left w:val="nil"/>
              <w:bottom w:val="nil"/>
              <w:right w:val="nil"/>
            </w:tcBorders>
            <w:vAlign w:val="center"/>
          </w:tcPr>
          <w:p w14:paraId="11ADDDB9" w14:textId="77777777" w:rsidR="00C77FA1" w:rsidRPr="006C7E3D" w:rsidRDefault="00C77FA1" w:rsidP="006C7E3D">
            <w:pPr>
              <w:spacing w:line="276" w:lineRule="auto"/>
              <w:ind w:left="245"/>
              <w:jc w:val="both"/>
              <w:rPr>
                <w:rFonts w:ascii="Times New Roman" w:hAnsi="Times New Roman" w:cs="Times New Roman"/>
                <w:sz w:val="24"/>
                <w:szCs w:val="24"/>
              </w:rPr>
            </w:pPr>
            <w:r w:rsidRPr="006C7E3D">
              <w:rPr>
                <w:rFonts w:ascii="Times New Roman" w:hAnsi="Times New Roman" w:cs="Times New Roman"/>
                <w:sz w:val="24"/>
                <w:szCs w:val="24"/>
              </w:rPr>
              <w:t xml:space="preserve">15  </w:t>
            </w:r>
          </w:p>
        </w:tc>
        <w:tc>
          <w:tcPr>
            <w:tcW w:w="1142" w:type="dxa"/>
            <w:tcBorders>
              <w:top w:val="single" w:sz="4" w:space="0" w:color="000000"/>
              <w:left w:val="nil"/>
              <w:bottom w:val="nil"/>
              <w:right w:val="nil"/>
            </w:tcBorders>
            <w:vAlign w:val="center"/>
          </w:tcPr>
          <w:p w14:paraId="561FAB44" w14:textId="77777777" w:rsidR="00C77FA1" w:rsidRPr="006C7E3D" w:rsidRDefault="00C77FA1" w:rsidP="006C7E3D">
            <w:pPr>
              <w:spacing w:line="276" w:lineRule="auto"/>
              <w:jc w:val="both"/>
              <w:rPr>
                <w:rFonts w:ascii="Times New Roman" w:hAnsi="Times New Roman" w:cs="Times New Roman"/>
                <w:sz w:val="24"/>
                <w:szCs w:val="24"/>
              </w:rPr>
            </w:pPr>
            <w:r w:rsidRPr="006C7E3D">
              <w:rPr>
                <w:rFonts w:ascii="Times New Roman" w:hAnsi="Times New Roman" w:cs="Times New Roman"/>
                <w:sz w:val="24"/>
                <w:szCs w:val="24"/>
              </w:rPr>
              <w:t xml:space="preserve">6,90  </w:t>
            </w:r>
          </w:p>
        </w:tc>
      </w:tr>
      <w:tr w:rsidR="00C77FA1" w:rsidRPr="006C7E3D" w14:paraId="422AEB8B" w14:textId="77777777">
        <w:trPr>
          <w:trHeight w:val="505"/>
        </w:trPr>
        <w:tc>
          <w:tcPr>
            <w:tcW w:w="1525" w:type="dxa"/>
            <w:tcBorders>
              <w:top w:val="nil"/>
              <w:left w:val="nil"/>
              <w:bottom w:val="nil"/>
              <w:right w:val="nil"/>
            </w:tcBorders>
          </w:tcPr>
          <w:p w14:paraId="7631E779" w14:textId="77777777" w:rsidR="00C77FA1" w:rsidRPr="006C7E3D" w:rsidRDefault="00C77FA1" w:rsidP="006C7E3D">
            <w:pPr>
              <w:spacing w:line="276" w:lineRule="auto"/>
              <w:jc w:val="both"/>
              <w:rPr>
                <w:rFonts w:ascii="Times New Roman" w:hAnsi="Times New Roman" w:cs="Times New Roman"/>
                <w:sz w:val="24"/>
                <w:szCs w:val="24"/>
              </w:rPr>
            </w:pPr>
          </w:p>
        </w:tc>
        <w:tc>
          <w:tcPr>
            <w:tcW w:w="3699" w:type="dxa"/>
            <w:tcBorders>
              <w:top w:val="nil"/>
              <w:left w:val="nil"/>
              <w:bottom w:val="nil"/>
              <w:right w:val="nil"/>
            </w:tcBorders>
          </w:tcPr>
          <w:p w14:paraId="7389F3D5" w14:textId="77777777" w:rsidR="00C77FA1" w:rsidRPr="006C7E3D" w:rsidRDefault="00C77FA1" w:rsidP="006C7E3D">
            <w:pPr>
              <w:jc w:val="both"/>
              <w:rPr>
                <w:rFonts w:ascii="Times New Roman" w:hAnsi="Times New Roman" w:cs="Times New Roman"/>
                <w:sz w:val="24"/>
                <w:szCs w:val="24"/>
              </w:rPr>
            </w:pPr>
            <w:r w:rsidRPr="006C7E3D">
              <w:rPr>
                <w:rFonts w:ascii="Times New Roman" w:hAnsi="Times New Roman" w:cs="Times New Roman"/>
                <w:sz w:val="24"/>
                <w:szCs w:val="24"/>
              </w:rPr>
              <w:t xml:space="preserve">Guaifenesin  </w:t>
            </w:r>
          </w:p>
          <w:p w14:paraId="0E5C1B5B" w14:textId="77777777" w:rsidR="00C77FA1" w:rsidRPr="006C7E3D" w:rsidRDefault="00C77FA1" w:rsidP="006C7E3D">
            <w:pPr>
              <w:spacing w:line="276" w:lineRule="auto"/>
              <w:ind w:left="372"/>
              <w:jc w:val="both"/>
              <w:rPr>
                <w:rFonts w:ascii="Times New Roman" w:hAnsi="Times New Roman" w:cs="Times New Roman"/>
                <w:sz w:val="24"/>
                <w:szCs w:val="24"/>
              </w:rPr>
            </w:pPr>
            <w:r w:rsidRPr="006C7E3D">
              <w:rPr>
                <w:rFonts w:ascii="Times New Roman" w:hAnsi="Times New Roman" w:cs="Times New Roman"/>
                <w:sz w:val="24"/>
                <w:szCs w:val="24"/>
              </w:rPr>
              <w:t xml:space="preserve">Salbutamol+CTM+Ambroxol+  </w:t>
            </w:r>
          </w:p>
        </w:tc>
        <w:tc>
          <w:tcPr>
            <w:tcW w:w="987" w:type="dxa"/>
            <w:tcBorders>
              <w:top w:val="nil"/>
              <w:left w:val="nil"/>
              <w:bottom w:val="nil"/>
              <w:right w:val="nil"/>
            </w:tcBorders>
          </w:tcPr>
          <w:p w14:paraId="7E9237F7" w14:textId="77777777" w:rsidR="00C77FA1" w:rsidRPr="006C7E3D" w:rsidRDefault="00C77FA1" w:rsidP="006C7E3D">
            <w:pPr>
              <w:spacing w:line="276" w:lineRule="auto"/>
              <w:ind w:left="300"/>
              <w:jc w:val="both"/>
              <w:rPr>
                <w:rFonts w:ascii="Times New Roman" w:hAnsi="Times New Roman" w:cs="Times New Roman"/>
                <w:sz w:val="24"/>
                <w:szCs w:val="24"/>
              </w:rPr>
            </w:pPr>
            <w:r w:rsidRPr="006C7E3D">
              <w:rPr>
                <w:rFonts w:ascii="Times New Roman" w:hAnsi="Times New Roman" w:cs="Times New Roman"/>
                <w:sz w:val="24"/>
                <w:szCs w:val="24"/>
              </w:rPr>
              <w:t xml:space="preserve">3  </w:t>
            </w:r>
          </w:p>
        </w:tc>
        <w:tc>
          <w:tcPr>
            <w:tcW w:w="1142" w:type="dxa"/>
            <w:tcBorders>
              <w:top w:val="nil"/>
              <w:left w:val="nil"/>
              <w:bottom w:val="nil"/>
              <w:right w:val="nil"/>
            </w:tcBorders>
          </w:tcPr>
          <w:p w14:paraId="4A79EAA0" w14:textId="77777777" w:rsidR="00C77FA1" w:rsidRPr="006C7E3D" w:rsidRDefault="00C77FA1" w:rsidP="006C7E3D">
            <w:pPr>
              <w:spacing w:line="276" w:lineRule="auto"/>
              <w:jc w:val="both"/>
              <w:rPr>
                <w:rFonts w:ascii="Times New Roman" w:hAnsi="Times New Roman" w:cs="Times New Roman"/>
                <w:sz w:val="24"/>
                <w:szCs w:val="24"/>
              </w:rPr>
            </w:pPr>
            <w:r w:rsidRPr="006C7E3D">
              <w:rPr>
                <w:rFonts w:ascii="Times New Roman" w:hAnsi="Times New Roman" w:cs="Times New Roman"/>
                <w:sz w:val="24"/>
                <w:szCs w:val="24"/>
              </w:rPr>
              <w:t xml:space="preserve">1,38  </w:t>
            </w:r>
          </w:p>
        </w:tc>
      </w:tr>
      <w:tr w:rsidR="00C77FA1" w:rsidRPr="006C7E3D" w14:paraId="6485C9D9" w14:textId="77777777">
        <w:trPr>
          <w:trHeight w:val="506"/>
        </w:trPr>
        <w:tc>
          <w:tcPr>
            <w:tcW w:w="1525" w:type="dxa"/>
            <w:tcBorders>
              <w:top w:val="nil"/>
              <w:left w:val="nil"/>
              <w:bottom w:val="nil"/>
              <w:right w:val="nil"/>
            </w:tcBorders>
          </w:tcPr>
          <w:p w14:paraId="039B1129" w14:textId="77777777" w:rsidR="00C77FA1" w:rsidRPr="006C7E3D" w:rsidRDefault="00C77FA1" w:rsidP="006C7E3D">
            <w:pPr>
              <w:spacing w:line="276" w:lineRule="auto"/>
              <w:jc w:val="both"/>
              <w:rPr>
                <w:rFonts w:ascii="Times New Roman" w:hAnsi="Times New Roman" w:cs="Times New Roman"/>
                <w:sz w:val="24"/>
                <w:szCs w:val="24"/>
              </w:rPr>
            </w:pPr>
          </w:p>
        </w:tc>
        <w:tc>
          <w:tcPr>
            <w:tcW w:w="3699" w:type="dxa"/>
            <w:tcBorders>
              <w:top w:val="nil"/>
              <w:left w:val="nil"/>
              <w:bottom w:val="nil"/>
              <w:right w:val="nil"/>
            </w:tcBorders>
          </w:tcPr>
          <w:p w14:paraId="6EEE0751" w14:textId="77777777" w:rsidR="00C77FA1" w:rsidRPr="006C7E3D" w:rsidRDefault="00C77FA1" w:rsidP="006C7E3D">
            <w:pPr>
              <w:jc w:val="both"/>
              <w:rPr>
                <w:rFonts w:ascii="Times New Roman" w:hAnsi="Times New Roman" w:cs="Times New Roman"/>
                <w:sz w:val="24"/>
                <w:szCs w:val="24"/>
              </w:rPr>
            </w:pPr>
            <w:r w:rsidRPr="006C7E3D">
              <w:rPr>
                <w:rFonts w:ascii="Times New Roman" w:hAnsi="Times New Roman" w:cs="Times New Roman"/>
                <w:sz w:val="24"/>
                <w:szCs w:val="24"/>
              </w:rPr>
              <w:t xml:space="preserve">Guaifenesin  </w:t>
            </w:r>
          </w:p>
          <w:p w14:paraId="3C9B9BD2" w14:textId="77777777" w:rsidR="00C77FA1" w:rsidRPr="006C7E3D" w:rsidRDefault="00C77FA1" w:rsidP="006C7E3D">
            <w:pPr>
              <w:spacing w:line="276" w:lineRule="auto"/>
              <w:ind w:left="372"/>
              <w:jc w:val="both"/>
              <w:rPr>
                <w:rFonts w:ascii="Times New Roman" w:hAnsi="Times New Roman" w:cs="Times New Roman"/>
                <w:sz w:val="24"/>
                <w:szCs w:val="24"/>
              </w:rPr>
            </w:pPr>
            <w:r w:rsidRPr="006C7E3D">
              <w:rPr>
                <w:rFonts w:ascii="Times New Roman" w:hAnsi="Times New Roman" w:cs="Times New Roman"/>
                <w:sz w:val="24"/>
                <w:szCs w:val="24"/>
              </w:rPr>
              <w:t xml:space="preserve">Ambroxol+Salbutamol+CTM+  </w:t>
            </w:r>
          </w:p>
        </w:tc>
        <w:tc>
          <w:tcPr>
            <w:tcW w:w="987" w:type="dxa"/>
            <w:tcBorders>
              <w:top w:val="nil"/>
              <w:left w:val="nil"/>
              <w:bottom w:val="nil"/>
              <w:right w:val="nil"/>
            </w:tcBorders>
          </w:tcPr>
          <w:p w14:paraId="38B5A89F" w14:textId="77777777" w:rsidR="00C77FA1" w:rsidRPr="006C7E3D" w:rsidRDefault="00C77FA1" w:rsidP="006C7E3D">
            <w:pPr>
              <w:spacing w:line="276" w:lineRule="auto"/>
              <w:ind w:left="300"/>
              <w:jc w:val="both"/>
              <w:rPr>
                <w:rFonts w:ascii="Times New Roman" w:hAnsi="Times New Roman" w:cs="Times New Roman"/>
                <w:sz w:val="24"/>
                <w:szCs w:val="24"/>
              </w:rPr>
            </w:pPr>
            <w:r w:rsidRPr="006C7E3D">
              <w:rPr>
                <w:rFonts w:ascii="Times New Roman" w:hAnsi="Times New Roman" w:cs="Times New Roman"/>
                <w:sz w:val="24"/>
                <w:szCs w:val="24"/>
              </w:rPr>
              <w:t xml:space="preserve">6  </w:t>
            </w:r>
          </w:p>
        </w:tc>
        <w:tc>
          <w:tcPr>
            <w:tcW w:w="1142" w:type="dxa"/>
            <w:tcBorders>
              <w:top w:val="nil"/>
              <w:left w:val="nil"/>
              <w:bottom w:val="nil"/>
              <w:right w:val="nil"/>
            </w:tcBorders>
          </w:tcPr>
          <w:p w14:paraId="2C12B3BB" w14:textId="77777777" w:rsidR="00C77FA1" w:rsidRPr="006C7E3D" w:rsidRDefault="00C77FA1" w:rsidP="006C7E3D">
            <w:pPr>
              <w:spacing w:line="276" w:lineRule="auto"/>
              <w:jc w:val="both"/>
              <w:rPr>
                <w:rFonts w:ascii="Times New Roman" w:hAnsi="Times New Roman" w:cs="Times New Roman"/>
                <w:sz w:val="24"/>
                <w:szCs w:val="24"/>
              </w:rPr>
            </w:pPr>
            <w:r w:rsidRPr="006C7E3D">
              <w:rPr>
                <w:rFonts w:ascii="Times New Roman" w:hAnsi="Times New Roman" w:cs="Times New Roman"/>
                <w:sz w:val="24"/>
                <w:szCs w:val="24"/>
              </w:rPr>
              <w:t xml:space="preserve">2,75  </w:t>
            </w:r>
          </w:p>
        </w:tc>
      </w:tr>
      <w:tr w:rsidR="00C77FA1" w:rsidRPr="006C7E3D" w14:paraId="634DC5E7" w14:textId="77777777">
        <w:trPr>
          <w:trHeight w:val="506"/>
        </w:trPr>
        <w:tc>
          <w:tcPr>
            <w:tcW w:w="1525" w:type="dxa"/>
            <w:tcBorders>
              <w:top w:val="nil"/>
              <w:left w:val="nil"/>
              <w:bottom w:val="nil"/>
              <w:right w:val="nil"/>
            </w:tcBorders>
          </w:tcPr>
          <w:p w14:paraId="7B9D7D85" w14:textId="77777777" w:rsidR="00C77FA1" w:rsidRPr="006C7E3D" w:rsidRDefault="00C77FA1" w:rsidP="006C7E3D">
            <w:pPr>
              <w:spacing w:line="276" w:lineRule="auto"/>
              <w:jc w:val="both"/>
              <w:rPr>
                <w:rFonts w:ascii="Times New Roman" w:hAnsi="Times New Roman" w:cs="Times New Roman"/>
                <w:sz w:val="24"/>
                <w:szCs w:val="24"/>
              </w:rPr>
            </w:pPr>
          </w:p>
        </w:tc>
        <w:tc>
          <w:tcPr>
            <w:tcW w:w="3699" w:type="dxa"/>
            <w:tcBorders>
              <w:top w:val="nil"/>
              <w:left w:val="nil"/>
              <w:bottom w:val="nil"/>
              <w:right w:val="nil"/>
            </w:tcBorders>
          </w:tcPr>
          <w:p w14:paraId="63E54289" w14:textId="77777777" w:rsidR="00C77FA1" w:rsidRPr="006C7E3D" w:rsidRDefault="00C77FA1" w:rsidP="006C7E3D">
            <w:pPr>
              <w:jc w:val="both"/>
              <w:rPr>
                <w:rFonts w:ascii="Times New Roman" w:hAnsi="Times New Roman" w:cs="Times New Roman"/>
                <w:sz w:val="24"/>
                <w:szCs w:val="24"/>
              </w:rPr>
            </w:pPr>
            <w:r w:rsidRPr="006C7E3D">
              <w:rPr>
                <w:rFonts w:ascii="Times New Roman" w:hAnsi="Times New Roman" w:cs="Times New Roman"/>
                <w:sz w:val="24"/>
                <w:szCs w:val="24"/>
              </w:rPr>
              <w:t xml:space="preserve">Amoksisilin  </w:t>
            </w:r>
          </w:p>
          <w:p w14:paraId="6D367F46" w14:textId="77777777" w:rsidR="00C77FA1" w:rsidRPr="006C7E3D" w:rsidRDefault="00C77FA1" w:rsidP="006C7E3D">
            <w:pPr>
              <w:spacing w:line="276" w:lineRule="auto"/>
              <w:ind w:left="250"/>
              <w:jc w:val="both"/>
              <w:rPr>
                <w:rFonts w:ascii="Times New Roman" w:hAnsi="Times New Roman" w:cs="Times New Roman"/>
                <w:sz w:val="24"/>
                <w:szCs w:val="24"/>
              </w:rPr>
            </w:pPr>
            <w:r w:rsidRPr="006C7E3D">
              <w:rPr>
                <w:rFonts w:ascii="Times New Roman" w:hAnsi="Times New Roman" w:cs="Times New Roman"/>
                <w:sz w:val="24"/>
                <w:szCs w:val="24"/>
              </w:rPr>
              <w:t xml:space="preserve">Paracetamol+Guaifenesin+CTM+  </w:t>
            </w:r>
          </w:p>
        </w:tc>
        <w:tc>
          <w:tcPr>
            <w:tcW w:w="987" w:type="dxa"/>
            <w:tcBorders>
              <w:top w:val="nil"/>
              <w:left w:val="nil"/>
              <w:bottom w:val="nil"/>
              <w:right w:val="nil"/>
            </w:tcBorders>
          </w:tcPr>
          <w:p w14:paraId="5EBD83C8" w14:textId="77777777" w:rsidR="00C77FA1" w:rsidRPr="006C7E3D" w:rsidRDefault="00C77FA1" w:rsidP="006C7E3D">
            <w:pPr>
              <w:spacing w:line="276" w:lineRule="auto"/>
              <w:ind w:left="300"/>
              <w:jc w:val="both"/>
              <w:rPr>
                <w:rFonts w:ascii="Times New Roman" w:hAnsi="Times New Roman" w:cs="Times New Roman"/>
                <w:sz w:val="24"/>
                <w:szCs w:val="24"/>
              </w:rPr>
            </w:pPr>
            <w:r w:rsidRPr="006C7E3D">
              <w:rPr>
                <w:rFonts w:ascii="Times New Roman" w:hAnsi="Times New Roman" w:cs="Times New Roman"/>
                <w:sz w:val="24"/>
                <w:szCs w:val="24"/>
              </w:rPr>
              <w:t xml:space="preserve">2  </w:t>
            </w:r>
          </w:p>
        </w:tc>
        <w:tc>
          <w:tcPr>
            <w:tcW w:w="1142" w:type="dxa"/>
            <w:tcBorders>
              <w:top w:val="nil"/>
              <w:left w:val="nil"/>
              <w:bottom w:val="nil"/>
              <w:right w:val="nil"/>
            </w:tcBorders>
          </w:tcPr>
          <w:p w14:paraId="27758A77" w14:textId="77777777" w:rsidR="00C77FA1" w:rsidRPr="006C7E3D" w:rsidRDefault="00C77FA1" w:rsidP="006C7E3D">
            <w:pPr>
              <w:spacing w:line="276" w:lineRule="auto"/>
              <w:jc w:val="both"/>
              <w:rPr>
                <w:rFonts w:ascii="Times New Roman" w:hAnsi="Times New Roman" w:cs="Times New Roman"/>
                <w:sz w:val="24"/>
                <w:szCs w:val="24"/>
              </w:rPr>
            </w:pPr>
            <w:r w:rsidRPr="006C7E3D">
              <w:rPr>
                <w:rFonts w:ascii="Times New Roman" w:hAnsi="Times New Roman" w:cs="Times New Roman"/>
                <w:sz w:val="24"/>
                <w:szCs w:val="24"/>
              </w:rPr>
              <w:t xml:space="preserve">0,92  </w:t>
            </w:r>
          </w:p>
        </w:tc>
      </w:tr>
      <w:tr w:rsidR="00C77FA1" w:rsidRPr="006C7E3D" w14:paraId="7AA6C99B" w14:textId="77777777">
        <w:trPr>
          <w:trHeight w:val="258"/>
        </w:trPr>
        <w:tc>
          <w:tcPr>
            <w:tcW w:w="1525" w:type="dxa"/>
            <w:tcBorders>
              <w:top w:val="nil"/>
              <w:left w:val="nil"/>
              <w:bottom w:val="single" w:sz="4" w:space="0" w:color="000000"/>
              <w:right w:val="nil"/>
            </w:tcBorders>
          </w:tcPr>
          <w:p w14:paraId="39AE247B" w14:textId="77777777" w:rsidR="00C77FA1" w:rsidRPr="006C7E3D" w:rsidRDefault="00C77FA1" w:rsidP="006C7E3D">
            <w:pPr>
              <w:spacing w:line="276" w:lineRule="auto"/>
              <w:ind w:left="122"/>
              <w:jc w:val="both"/>
              <w:rPr>
                <w:rFonts w:ascii="Times New Roman" w:hAnsi="Times New Roman" w:cs="Times New Roman"/>
                <w:sz w:val="24"/>
                <w:szCs w:val="24"/>
              </w:rPr>
            </w:pPr>
            <w:r w:rsidRPr="006C7E3D">
              <w:rPr>
                <w:rFonts w:ascii="Times New Roman" w:hAnsi="Times New Roman" w:cs="Times New Roman"/>
                <w:sz w:val="24"/>
                <w:szCs w:val="24"/>
              </w:rPr>
              <w:t xml:space="preserve">  </w:t>
            </w:r>
          </w:p>
        </w:tc>
        <w:tc>
          <w:tcPr>
            <w:tcW w:w="3699" w:type="dxa"/>
            <w:tcBorders>
              <w:top w:val="nil"/>
              <w:left w:val="nil"/>
              <w:bottom w:val="single" w:sz="4" w:space="0" w:color="000000"/>
              <w:right w:val="nil"/>
            </w:tcBorders>
          </w:tcPr>
          <w:p w14:paraId="68BA5C4C" w14:textId="77777777" w:rsidR="00C77FA1" w:rsidRPr="006C7E3D" w:rsidRDefault="00C77FA1" w:rsidP="006C7E3D">
            <w:pPr>
              <w:spacing w:line="276" w:lineRule="auto"/>
              <w:jc w:val="both"/>
              <w:rPr>
                <w:rFonts w:ascii="Times New Roman" w:hAnsi="Times New Roman" w:cs="Times New Roman"/>
                <w:sz w:val="24"/>
                <w:szCs w:val="24"/>
              </w:rPr>
            </w:pPr>
            <w:r w:rsidRPr="006C7E3D">
              <w:rPr>
                <w:rFonts w:ascii="Times New Roman" w:hAnsi="Times New Roman" w:cs="Times New Roman"/>
                <w:sz w:val="24"/>
                <w:szCs w:val="24"/>
              </w:rPr>
              <w:t xml:space="preserve">Amoksisilin  </w:t>
            </w:r>
          </w:p>
        </w:tc>
        <w:tc>
          <w:tcPr>
            <w:tcW w:w="987" w:type="dxa"/>
            <w:tcBorders>
              <w:top w:val="nil"/>
              <w:left w:val="nil"/>
              <w:bottom w:val="single" w:sz="4" w:space="0" w:color="000000"/>
              <w:right w:val="nil"/>
            </w:tcBorders>
          </w:tcPr>
          <w:p w14:paraId="5073B2BD" w14:textId="77777777" w:rsidR="00C77FA1" w:rsidRPr="006C7E3D" w:rsidRDefault="00C77FA1" w:rsidP="006C7E3D">
            <w:pPr>
              <w:spacing w:line="276" w:lineRule="auto"/>
              <w:ind w:left="300"/>
              <w:jc w:val="both"/>
              <w:rPr>
                <w:rFonts w:ascii="Times New Roman" w:hAnsi="Times New Roman" w:cs="Times New Roman"/>
                <w:sz w:val="24"/>
                <w:szCs w:val="24"/>
              </w:rPr>
            </w:pPr>
            <w:r w:rsidRPr="006C7E3D">
              <w:rPr>
                <w:rFonts w:ascii="Times New Roman" w:hAnsi="Times New Roman" w:cs="Times New Roman"/>
                <w:sz w:val="24"/>
                <w:szCs w:val="24"/>
              </w:rPr>
              <w:t xml:space="preserve">3  </w:t>
            </w:r>
          </w:p>
        </w:tc>
        <w:tc>
          <w:tcPr>
            <w:tcW w:w="1142" w:type="dxa"/>
            <w:tcBorders>
              <w:top w:val="nil"/>
              <w:left w:val="nil"/>
              <w:bottom w:val="single" w:sz="4" w:space="0" w:color="000000"/>
              <w:right w:val="nil"/>
            </w:tcBorders>
          </w:tcPr>
          <w:p w14:paraId="019CE26B" w14:textId="77777777" w:rsidR="00C77FA1" w:rsidRPr="006C7E3D" w:rsidRDefault="00C77FA1" w:rsidP="006C7E3D">
            <w:pPr>
              <w:spacing w:line="276" w:lineRule="auto"/>
              <w:jc w:val="both"/>
              <w:rPr>
                <w:rFonts w:ascii="Times New Roman" w:hAnsi="Times New Roman" w:cs="Times New Roman"/>
                <w:sz w:val="24"/>
                <w:szCs w:val="24"/>
              </w:rPr>
            </w:pPr>
            <w:r w:rsidRPr="006C7E3D">
              <w:rPr>
                <w:rFonts w:ascii="Times New Roman" w:hAnsi="Times New Roman" w:cs="Times New Roman"/>
                <w:sz w:val="24"/>
                <w:szCs w:val="24"/>
              </w:rPr>
              <w:t xml:space="preserve">1,37  </w:t>
            </w:r>
          </w:p>
        </w:tc>
      </w:tr>
      <w:tr w:rsidR="00C77FA1" w:rsidRPr="006C7E3D" w14:paraId="0EFDFC6D" w14:textId="77777777">
        <w:trPr>
          <w:trHeight w:val="480"/>
        </w:trPr>
        <w:tc>
          <w:tcPr>
            <w:tcW w:w="1525" w:type="dxa"/>
            <w:tcBorders>
              <w:top w:val="single" w:sz="4" w:space="0" w:color="000000"/>
              <w:left w:val="nil"/>
              <w:bottom w:val="single" w:sz="4" w:space="0" w:color="000000"/>
              <w:right w:val="nil"/>
            </w:tcBorders>
          </w:tcPr>
          <w:p w14:paraId="6B913BFD" w14:textId="77777777" w:rsidR="00C77FA1" w:rsidRPr="006C7E3D" w:rsidRDefault="00C77FA1" w:rsidP="006C7E3D">
            <w:pPr>
              <w:spacing w:line="276" w:lineRule="auto"/>
              <w:jc w:val="both"/>
              <w:rPr>
                <w:rFonts w:ascii="Times New Roman" w:hAnsi="Times New Roman" w:cs="Times New Roman"/>
                <w:sz w:val="24"/>
                <w:szCs w:val="24"/>
              </w:rPr>
            </w:pPr>
            <w:r w:rsidRPr="006C7E3D">
              <w:rPr>
                <w:rFonts w:ascii="Times New Roman" w:eastAsia="Times New Roman" w:hAnsi="Times New Roman" w:cs="Times New Roman"/>
                <w:b/>
                <w:sz w:val="24"/>
                <w:szCs w:val="24"/>
              </w:rPr>
              <w:t xml:space="preserve">Total  </w:t>
            </w:r>
          </w:p>
        </w:tc>
        <w:tc>
          <w:tcPr>
            <w:tcW w:w="3699" w:type="dxa"/>
            <w:tcBorders>
              <w:top w:val="single" w:sz="4" w:space="0" w:color="000000"/>
              <w:left w:val="nil"/>
              <w:bottom w:val="single" w:sz="4" w:space="0" w:color="000000"/>
              <w:right w:val="nil"/>
            </w:tcBorders>
          </w:tcPr>
          <w:p w14:paraId="3DB747E1" w14:textId="77777777" w:rsidR="00C77FA1" w:rsidRPr="006C7E3D" w:rsidRDefault="00C77FA1" w:rsidP="006C7E3D">
            <w:pPr>
              <w:spacing w:line="276" w:lineRule="auto"/>
              <w:ind w:left="58"/>
              <w:jc w:val="both"/>
              <w:rPr>
                <w:rFonts w:ascii="Times New Roman" w:hAnsi="Times New Roman" w:cs="Times New Roman"/>
                <w:sz w:val="24"/>
                <w:szCs w:val="24"/>
              </w:rPr>
            </w:pPr>
            <w:r w:rsidRPr="006C7E3D">
              <w:rPr>
                <w:rFonts w:ascii="Times New Roman" w:eastAsia="Calibri" w:hAnsi="Times New Roman" w:cs="Times New Roman"/>
                <w:b/>
                <w:sz w:val="24"/>
                <w:szCs w:val="24"/>
              </w:rPr>
              <w:t xml:space="preserve">  </w:t>
            </w:r>
          </w:p>
        </w:tc>
        <w:tc>
          <w:tcPr>
            <w:tcW w:w="987" w:type="dxa"/>
            <w:tcBorders>
              <w:top w:val="single" w:sz="4" w:space="0" w:color="000000"/>
              <w:left w:val="nil"/>
              <w:bottom w:val="single" w:sz="4" w:space="0" w:color="000000"/>
              <w:right w:val="nil"/>
            </w:tcBorders>
          </w:tcPr>
          <w:p w14:paraId="3B4D5D07" w14:textId="77777777" w:rsidR="00C77FA1" w:rsidRPr="006C7E3D" w:rsidRDefault="00C77FA1" w:rsidP="006C7E3D">
            <w:pPr>
              <w:spacing w:line="276" w:lineRule="auto"/>
              <w:ind w:left="190"/>
              <w:jc w:val="both"/>
              <w:rPr>
                <w:rFonts w:ascii="Times New Roman" w:hAnsi="Times New Roman" w:cs="Times New Roman"/>
                <w:sz w:val="24"/>
                <w:szCs w:val="24"/>
              </w:rPr>
            </w:pPr>
            <w:r w:rsidRPr="006C7E3D">
              <w:rPr>
                <w:rFonts w:ascii="Times New Roman" w:eastAsia="Times New Roman" w:hAnsi="Times New Roman" w:cs="Times New Roman"/>
                <w:b/>
                <w:sz w:val="24"/>
                <w:szCs w:val="24"/>
              </w:rPr>
              <w:t xml:space="preserve">218  </w:t>
            </w:r>
          </w:p>
        </w:tc>
        <w:tc>
          <w:tcPr>
            <w:tcW w:w="1142" w:type="dxa"/>
            <w:tcBorders>
              <w:top w:val="single" w:sz="4" w:space="0" w:color="000000"/>
              <w:left w:val="nil"/>
              <w:bottom w:val="single" w:sz="4" w:space="0" w:color="000000"/>
              <w:right w:val="nil"/>
            </w:tcBorders>
          </w:tcPr>
          <w:p w14:paraId="21F6AAAA" w14:textId="77777777" w:rsidR="00C77FA1" w:rsidRPr="006C7E3D" w:rsidRDefault="00C77FA1" w:rsidP="006C7E3D">
            <w:pPr>
              <w:spacing w:line="276" w:lineRule="auto"/>
              <w:jc w:val="both"/>
              <w:rPr>
                <w:rFonts w:ascii="Times New Roman" w:hAnsi="Times New Roman" w:cs="Times New Roman"/>
                <w:sz w:val="24"/>
                <w:szCs w:val="24"/>
              </w:rPr>
            </w:pPr>
            <w:r w:rsidRPr="006C7E3D">
              <w:rPr>
                <w:rFonts w:ascii="Times New Roman" w:eastAsia="Times New Roman" w:hAnsi="Times New Roman" w:cs="Times New Roman"/>
                <w:b/>
                <w:sz w:val="24"/>
                <w:szCs w:val="24"/>
              </w:rPr>
              <w:t xml:space="preserve">100  </w:t>
            </w:r>
          </w:p>
        </w:tc>
      </w:tr>
    </w:tbl>
    <w:p w14:paraId="40C98BB5" w14:textId="77777777" w:rsidR="00C77FA1" w:rsidRPr="006C7E3D" w:rsidRDefault="00C77FA1" w:rsidP="006C7E3D">
      <w:pPr>
        <w:jc w:val="both"/>
        <w:rPr>
          <w:rFonts w:cs="Times New Roman"/>
          <w:szCs w:val="24"/>
        </w:rPr>
        <w:sectPr w:rsidR="00C77FA1" w:rsidRPr="006C7E3D" w:rsidSect="006C7E3D">
          <w:footerReference w:type="even" r:id="rId14"/>
          <w:footerReference w:type="default" r:id="rId15"/>
          <w:footerReference w:type="first" r:id="rId16"/>
          <w:pgSz w:w="11909" w:h="16834"/>
          <w:pgMar w:top="1426" w:right="3566" w:bottom="723" w:left="1419" w:header="720" w:footer="720" w:gutter="0"/>
          <w:cols w:space="575"/>
        </w:sectPr>
      </w:pPr>
    </w:p>
    <w:p w14:paraId="4F610D26" w14:textId="3A1B4E07" w:rsidR="006C7E3D" w:rsidRPr="006C7E3D" w:rsidRDefault="006C7E3D" w:rsidP="006C7E3D">
      <w:pPr>
        <w:ind w:firstLine="720"/>
        <w:jc w:val="both"/>
        <w:rPr>
          <w:rFonts w:cs="Times New Roman"/>
          <w:szCs w:val="24"/>
        </w:rPr>
      </w:pPr>
      <w:r w:rsidRPr="006C7E3D">
        <w:rPr>
          <w:rFonts w:cs="Times New Roman"/>
          <w:szCs w:val="24"/>
        </w:rPr>
        <w:lastRenderedPageBreak/>
        <w:t>memungkinkan obat-obat tersebut menembus sawar darah sedasi otak sehingga menimbulkan efek sedasi.</w:t>
      </w:r>
      <w:r>
        <w:rPr>
          <w:rFonts w:cs="Times New Roman"/>
          <w:szCs w:val="24"/>
          <w:lang w:val="en-US"/>
        </w:rPr>
        <w:t xml:space="preserve"> </w:t>
      </w:r>
      <w:r w:rsidRPr="006C7E3D">
        <w:rPr>
          <w:rFonts w:cs="Times New Roman"/>
          <w:szCs w:val="24"/>
        </w:rPr>
        <w:t xml:space="preserve">Hal ini dapat memperkuat efek sedasi yang dapat ditimbulkan oleh obat-obat lain yang memiliki efek sedasi jika digunakan secara bersamaan. Efek sedasi ini juga berperan dalam menekan batuk [9]. </w:t>
      </w:r>
    </w:p>
    <w:p w14:paraId="4D52D593" w14:textId="1F9D190A" w:rsidR="00C77FA1" w:rsidRPr="006C7E3D" w:rsidRDefault="006C7E3D" w:rsidP="006C7E3D">
      <w:pPr>
        <w:ind w:firstLine="720"/>
        <w:jc w:val="both"/>
        <w:rPr>
          <w:rFonts w:cs="Times New Roman"/>
          <w:szCs w:val="24"/>
        </w:rPr>
      </w:pPr>
      <w:r w:rsidRPr="005405A4">
        <w:rPr>
          <w:rFonts w:cs="Times New Roman"/>
          <w:szCs w:val="24"/>
        </w:rPr>
        <w:t>G</w:t>
      </w:r>
      <w:r w:rsidR="00C77FA1" w:rsidRPr="006C7E3D">
        <w:rPr>
          <w:rFonts w:cs="Times New Roman"/>
          <w:szCs w:val="24"/>
        </w:rPr>
        <w:t xml:space="preserve">olongan ekspektoran yang diberikan dengan tujuan memperbanyak produksi dahak sehingga mengurangi kekentalannya dan mempermudah pengeluarannya melalui batuk. Pengujian farmakologi klinis dan studi klinis </w:t>
      </w:r>
      <w:r w:rsidR="00C77FA1" w:rsidRPr="006C7E3D">
        <w:rPr>
          <w:rFonts w:cs="Times New Roman"/>
          <w:szCs w:val="24"/>
        </w:rPr>
        <w:lastRenderedPageBreak/>
        <w:t xml:space="preserve">pada pasien terkait kegunaan klinis guaifenesin (glyceryl guaiacolate) pada kondisi hipersekresi lender di saluran pernapasan seperti pada infeksi saluran pernapasan atas akut (ISPA), bronkitis kronis yang stabil, dan rhinosinusitis [10]. </w:t>
      </w:r>
    </w:p>
    <w:p w14:paraId="7DD858A4" w14:textId="7FE193AF" w:rsidR="00C77FA1" w:rsidRPr="006C7E3D" w:rsidRDefault="006C7E3D" w:rsidP="006C7E3D">
      <w:pPr>
        <w:ind w:firstLine="720"/>
        <w:jc w:val="both"/>
        <w:rPr>
          <w:rFonts w:cs="Times New Roman"/>
          <w:szCs w:val="24"/>
        </w:rPr>
      </w:pPr>
      <w:r>
        <w:rPr>
          <w:rFonts w:cs="Times New Roman"/>
          <w:szCs w:val="24"/>
          <w:lang w:val="en-US"/>
        </w:rPr>
        <w:t>G</w:t>
      </w:r>
      <w:r w:rsidR="00C77FA1" w:rsidRPr="006C7E3D">
        <w:rPr>
          <w:rFonts w:cs="Times New Roman"/>
          <w:szCs w:val="24"/>
        </w:rPr>
        <w:t xml:space="preserve">olongan mukolitik golongan obat mukolitik diberikan untuk mengatasi batuk produktif dengan mensekresi dahak berlebih. Mekanisme golongan mukolitik adalah dengan cara mengubah mukus menjadi lebih encer dengan cara mendegradasi polimer musin, </w:t>
      </w:r>
      <w:r w:rsidR="00C77FA1" w:rsidRPr="006C7E3D">
        <w:rPr>
          <w:rFonts w:eastAsia="Times New Roman" w:cs="Times New Roman"/>
          <w:i/>
          <w:szCs w:val="24"/>
        </w:rPr>
        <w:t xml:space="preserve">deoxyribonucleic acid </w:t>
      </w:r>
      <w:r w:rsidR="00C77FA1" w:rsidRPr="006C7E3D">
        <w:rPr>
          <w:rFonts w:cs="Times New Roman"/>
          <w:szCs w:val="24"/>
        </w:rPr>
        <w:t xml:space="preserve">(DNA), fibrin </w:t>
      </w:r>
      <w:r w:rsidR="00C77FA1" w:rsidRPr="006C7E3D">
        <w:rPr>
          <w:rFonts w:cs="Times New Roman"/>
          <w:szCs w:val="24"/>
        </w:rPr>
        <w:lastRenderedPageBreak/>
        <w:t xml:space="preserve">atau F-aktin dari sekresi saluran pernapasan [10]. Selain bersifat mukolitik, Ambrosol juga dapat berfungsi untuk meredakan batuk berdahak. </w:t>
      </w:r>
    </w:p>
    <w:p w14:paraId="6FCD8F86" w14:textId="77777777" w:rsidR="00C77FA1" w:rsidRPr="006C7E3D" w:rsidRDefault="00C77FA1" w:rsidP="006C7E3D">
      <w:pPr>
        <w:ind w:firstLine="720"/>
        <w:jc w:val="both"/>
        <w:rPr>
          <w:rFonts w:cs="Times New Roman"/>
          <w:szCs w:val="24"/>
        </w:rPr>
      </w:pPr>
      <w:r w:rsidRPr="006C7E3D">
        <w:rPr>
          <w:rFonts w:cs="Times New Roman"/>
          <w:szCs w:val="24"/>
        </w:rPr>
        <w:t xml:space="preserve">Bronkitis akut adalah infeksi pada saluran pernapasan yang disertai batuk dan dahak, nyeri dada, dan demam. Sebagian besar kasus bronkitis disebabkan oleh virus, jadi antibiotik biasanya tidak dapat membantu. Beta2-agonis seperti salbutamol adalah obat yang meredakan asma dengan merelaksasi otot pada saluran pernapasan. Obat ini digunakan untuk meredakan batuk pada bronkitis akut [11]. golongan multivitamin (Vit C) karena balita sistem kekebalan tubuhnya kurang kuat sehingga perlu pengobatan vitamin balita kebal terhadap penyakit. Multivitamin  berfumgsi untuk memenuhi asupah harian tubuh yang tidak tercukupi dari pola makan sehari-hari [12].  </w:t>
      </w:r>
    </w:p>
    <w:p w14:paraId="3C0802F0" w14:textId="77777777" w:rsidR="00C77FA1" w:rsidRPr="006C7E3D" w:rsidRDefault="00C77FA1" w:rsidP="006C7E3D">
      <w:pPr>
        <w:spacing w:after="238"/>
        <w:ind w:firstLine="720"/>
        <w:jc w:val="both"/>
        <w:rPr>
          <w:rFonts w:cs="Times New Roman"/>
          <w:szCs w:val="24"/>
        </w:rPr>
      </w:pPr>
      <w:r w:rsidRPr="006C7E3D">
        <w:rPr>
          <w:rFonts w:cs="Times New Roman"/>
          <w:szCs w:val="24"/>
        </w:rPr>
        <w:t xml:space="preserve">Penggobatan non pneumonia tidak selalu menggunakan antibiotik. Antibiotik digunakan jika penyebabnya adalah bakteri. Dimana ISPA non pneumonia yang disebabkan oleh virus tidak perlu diberikan antibiotik, cukup pemberian terapi suportif  berdasarkan gejala yang muncul pada pasien seperti demam, flu, batuk, nyeri dan asma dalam hal ini mengapa vitamin dan mineral juga sangat diperlukan untuk meningkatkan daya tahan tubuh terutama pada anak. </w:t>
      </w:r>
    </w:p>
    <w:p w14:paraId="1A658363" w14:textId="77777777" w:rsidR="00C77FA1" w:rsidRPr="006C7E3D" w:rsidRDefault="00C77FA1" w:rsidP="006C7E3D">
      <w:pPr>
        <w:spacing w:after="212"/>
        <w:ind w:left="1423" w:hanging="1438"/>
        <w:jc w:val="both"/>
        <w:rPr>
          <w:rFonts w:cs="Times New Roman"/>
          <w:szCs w:val="24"/>
        </w:rPr>
      </w:pPr>
      <w:r w:rsidRPr="006C7E3D">
        <w:rPr>
          <w:rFonts w:cs="Times New Roman"/>
          <w:szCs w:val="24"/>
        </w:rPr>
        <w:t xml:space="preserve">Tabel 5 Karakteristik Obat Berdasarkan Frekuensi Penggunaan Obat </w:t>
      </w:r>
    </w:p>
    <w:tbl>
      <w:tblPr>
        <w:tblStyle w:val="TableGrid"/>
        <w:tblW w:w="4628" w:type="dxa"/>
        <w:tblInd w:w="-53" w:type="dxa"/>
        <w:tblCellMar>
          <w:right w:w="34" w:type="dxa"/>
        </w:tblCellMar>
        <w:tblLook w:val="04A0" w:firstRow="1" w:lastRow="0" w:firstColumn="1" w:lastColumn="0" w:noHBand="0" w:noVBand="1"/>
      </w:tblPr>
      <w:tblGrid>
        <w:gridCol w:w="1171"/>
        <w:gridCol w:w="1489"/>
        <w:gridCol w:w="921"/>
        <w:gridCol w:w="1047"/>
      </w:tblGrid>
      <w:tr w:rsidR="00C77FA1" w:rsidRPr="006C7E3D" w14:paraId="1B0B37F9" w14:textId="77777777">
        <w:trPr>
          <w:trHeight w:val="516"/>
        </w:trPr>
        <w:tc>
          <w:tcPr>
            <w:tcW w:w="1174" w:type="dxa"/>
            <w:vMerge w:val="restart"/>
            <w:tcBorders>
              <w:top w:val="single" w:sz="4" w:space="0" w:color="000000"/>
              <w:left w:val="nil"/>
              <w:bottom w:val="nil"/>
              <w:right w:val="nil"/>
            </w:tcBorders>
          </w:tcPr>
          <w:p w14:paraId="436E2A68" w14:textId="77777777" w:rsidR="00C77FA1" w:rsidRPr="006C7E3D" w:rsidRDefault="00C77FA1" w:rsidP="006C7E3D">
            <w:pPr>
              <w:ind w:left="154"/>
              <w:jc w:val="both"/>
              <w:rPr>
                <w:rFonts w:ascii="Times New Roman" w:hAnsi="Times New Roman" w:cs="Times New Roman"/>
                <w:sz w:val="24"/>
                <w:szCs w:val="24"/>
              </w:rPr>
            </w:pPr>
            <w:r w:rsidRPr="006C7E3D">
              <w:rPr>
                <w:rFonts w:ascii="Times New Roman" w:hAnsi="Times New Roman" w:cs="Times New Roman"/>
                <w:sz w:val="24"/>
                <w:szCs w:val="24"/>
              </w:rPr>
              <w:t xml:space="preserve">Bentuk  </w:t>
            </w:r>
          </w:p>
          <w:p w14:paraId="745DAF85" w14:textId="77777777" w:rsidR="00C77FA1" w:rsidRPr="006C7E3D" w:rsidRDefault="00C77FA1" w:rsidP="006C7E3D">
            <w:pPr>
              <w:spacing w:after="65"/>
              <w:ind w:left="122"/>
              <w:jc w:val="both"/>
              <w:rPr>
                <w:rFonts w:ascii="Times New Roman" w:hAnsi="Times New Roman" w:cs="Times New Roman"/>
                <w:sz w:val="24"/>
                <w:szCs w:val="24"/>
              </w:rPr>
            </w:pPr>
            <w:r w:rsidRPr="006C7E3D">
              <w:rPr>
                <w:rFonts w:ascii="Times New Roman" w:hAnsi="Times New Roman" w:cs="Times New Roman"/>
                <w:sz w:val="24"/>
                <w:szCs w:val="24"/>
                <w:u w:val="single" w:color="000000"/>
              </w:rPr>
              <w:t xml:space="preserve">Sediaan  </w:t>
            </w:r>
          </w:p>
          <w:p w14:paraId="4923760E" w14:textId="77777777" w:rsidR="00C77FA1" w:rsidRPr="006C7E3D" w:rsidRDefault="00C77FA1" w:rsidP="006C7E3D">
            <w:pPr>
              <w:spacing w:line="276" w:lineRule="auto"/>
              <w:ind w:left="192"/>
              <w:jc w:val="both"/>
              <w:rPr>
                <w:rFonts w:ascii="Times New Roman" w:hAnsi="Times New Roman" w:cs="Times New Roman"/>
                <w:sz w:val="24"/>
                <w:szCs w:val="24"/>
              </w:rPr>
            </w:pPr>
            <w:r w:rsidRPr="006C7E3D">
              <w:rPr>
                <w:rFonts w:ascii="Times New Roman" w:hAnsi="Times New Roman" w:cs="Times New Roman"/>
                <w:sz w:val="24"/>
                <w:szCs w:val="24"/>
              </w:rPr>
              <w:t xml:space="preserve">Tablet  </w:t>
            </w:r>
          </w:p>
        </w:tc>
        <w:tc>
          <w:tcPr>
            <w:tcW w:w="1493" w:type="dxa"/>
            <w:tcBorders>
              <w:top w:val="single" w:sz="4" w:space="0" w:color="000000"/>
              <w:left w:val="nil"/>
              <w:bottom w:val="single" w:sz="4" w:space="0" w:color="000000"/>
              <w:right w:val="nil"/>
            </w:tcBorders>
          </w:tcPr>
          <w:p w14:paraId="7074D0EC" w14:textId="77777777" w:rsidR="00C77FA1" w:rsidRPr="006C7E3D" w:rsidRDefault="00C77FA1" w:rsidP="006C7E3D">
            <w:pPr>
              <w:spacing w:line="276" w:lineRule="auto"/>
              <w:ind w:firstLine="103"/>
              <w:jc w:val="both"/>
              <w:rPr>
                <w:rFonts w:ascii="Times New Roman" w:hAnsi="Times New Roman" w:cs="Times New Roman"/>
                <w:sz w:val="24"/>
                <w:szCs w:val="24"/>
              </w:rPr>
            </w:pPr>
            <w:r w:rsidRPr="006C7E3D">
              <w:rPr>
                <w:rFonts w:ascii="Times New Roman" w:hAnsi="Times New Roman" w:cs="Times New Roman"/>
                <w:sz w:val="24"/>
                <w:szCs w:val="24"/>
              </w:rPr>
              <w:t xml:space="preserve">Frekuensi Penggunaan  </w:t>
            </w:r>
          </w:p>
        </w:tc>
        <w:tc>
          <w:tcPr>
            <w:tcW w:w="924" w:type="dxa"/>
            <w:tcBorders>
              <w:top w:val="single" w:sz="4" w:space="0" w:color="000000"/>
              <w:left w:val="nil"/>
              <w:bottom w:val="single" w:sz="4" w:space="0" w:color="000000"/>
              <w:right w:val="nil"/>
            </w:tcBorders>
          </w:tcPr>
          <w:p w14:paraId="4C7FE5C5" w14:textId="77777777" w:rsidR="00C77FA1" w:rsidRPr="006C7E3D" w:rsidRDefault="00C77FA1" w:rsidP="006C7E3D">
            <w:pPr>
              <w:spacing w:line="276" w:lineRule="auto"/>
              <w:ind w:left="34" w:hanging="34"/>
              <w:jc w:val="both"/>
              <w:rPr>
                <w:rFonts w:ascii="Times New Roman" w:hAnsi="Times New Roman" w:cs="Times New Roman"/>
                <w:sz w:val="24"/>
                <w:szCs w:val="24"/>
              </w:rPr>
            </w:pPr>
            <w:r w:rsidRPr="006C7E3D">
              <w:rPr>
                <w:rFonts w:ascii="Times New Roman" w:hAnsi="Times New Roman" w:cs="Times New Roman"/>
                <w:sz w:val="24"/>
                <w:szCs w:val="24"/>
              </w:rPr>
              <w:t xml:space="preserve">Jumlah  Pasien  </w:t>
            </w:r>
          </w:p>
        </w:tc>
        <w:tc>
          <w:tcPr>
            <w:tcW w:w="1037" w:type="dxa"/>
            <w:tcBorders>
              <w:top w:val="single" w:sz="4" w:space="0" w:color="000000"/>
              <w:left w:val="nil"/>
              <w:bottom w:val="single" w:sz="4" w:space="0" w:color="000000"/>
              <w:right w:val="nil"/>
            </w:tcBorders>
          </w:tcPr>
          <w:p w14:paraId="619E901B" w14:textId="77777777" w:rsidR="00C77FA1" w:rsidRPr="006C7E3D" w:rsidRDefault="00C77FA1" w:rsidP="006C7E3D">
            <w:pPr>
              <w:spacing w:line="276" w:lineRule="auto"/>
              <w:ind w:left="300" w:hanging="300"/>
              <w:jc w:val="both"/>
              <w:rPr>
                <w:rFonts w:ascii="Times New Roman" w:hAnsi="Times New Roman" w:cs="Times New Roman"/>
                <w:sz w:val="24"/>
                <w:szCs w:val="24"/>
              </w:rPr>
            </w:pPr>
            <w:r w:rsidRPr="006C7E3D">
              <w:rPr>
                <w:rFonts w:ascii="Times New Roman" w:hAnsi="Times New Roman" w:cs="Times New Roman"/>
                <w:sz w:val="24"/>
                <w:szCs w:val="24"/>
              </w:rPr>
              <w:t xml:space="preserve">Persentase  (%)  </w:t>
            </w:r>
          </w:p>
        </w:tc>
      </w:tr>
      <w:tr w:rsidR="00C77FA1" w:rsidRPr="006C7E3D" w14:paraId="035B81A9" w14:textId="77777777">
        <w:trPr>
          <w:trHeight w:val="342"/>
        </w:trPr>
        <w:tc>
          <w:tcPr>
            <w:tcW w:w="0" w:type="auto"/>
            <w:vMerge/>
            <w:tcBorders>
              <w:top w:val="nil"/>
              <w:left w:val="nil"/>
              <w:bottom w:val="nil"/>
              <w:right w:val="nil"/>
            </w:tcBorders>
          </w:tcPr>
          <w:p w14:paraId="186F0EF8" w14:textId="77777777" w:rsidR="00C77FA1" w:rsidRPr="006C7E3D" w:rsidRDefault="00C77FA1" w:rsidP="006C7E3D">
            <w:pPr>
              <w:spacing w:line="276" w:lineRule="auto"/>
              <w:jc w:val="both"/>
              <w:rPr>
                <w:rFonts w:ascii="Times New Roman" w:hAnsi="Times New Roman" w:cs="Times New Roman"/>
                <w:sz w:val="24"/>
                <w:szCs w:val="24"/>
              </w:rPr>
            </w:pPr>
          </w:p>
        </w:tc>
        <w:tc>
          <w:tcPr>
            <w:tcW w:w="1493" w:type="dxa"/>
            <w:tcBorders>
              <w:top w:val="single" w:sz="4" w:space="0" w:color="000000"/>
              <w:left w:val="nil"/>
              <w:bottom w:val="nil"/>
              <w:right w:val="nil"/>
            </w:tcBorders>
          </w:tcPr>
          <w:p w14:paraId="779E0CD1" w14:textId="77777777" w:rsidR="00C77FA1" w:rsidRPr="006C7E3D" w:rsidRDefault="00C77FA1" w:rsidP="006C7E3D">
            <w:pPr>
              <w:spacing w:line="276" w:lineRule="auto"/>
              <w:ind w:left="286"/>
              <w:jc w:val="both"/>
              <w:rPr>
                <w:rFonts w:ascii="Times New Roman" w:hAnsi="Times New Roman" w:cs="Times New Roman"/>
                <w:sz w:val="24"/>
                <w:szCs w:val="24"/>
              </w:rPr>
            </w:pPr>
            <w:r w:rsidRPr="006C7E3D">
              <w:rPr>
                <w:rFonts w:ascii="Times New Roman" w:hAnsi="Times New Roman" w:cs="Times New Roman"/>
                <w:sz w:val="24"/>
                <w:szCs w:val="24"/>
              </w:rPr>
              <w:t xml:space="preserve">3x1/4  </w:t>
            </w:r>
          </w:p>
        </w:tc>
        <w:tc>
          <w:tcPr>
            <w:tcW w:w="924" w:type="dxa"/>
            <w:tcBorders>
              <w:top w:val="single" w:sz="4" w:space="0" w:color="000000"/>
              <w:left w:val="nil"/>
              <w:bottom w:val="nil"/>
              <w:right w:val="nil"/>
            </w:tcBorders>
          </w:tcPr>
          <w:p w14:paraId="055EAE22" w14:textId="77777777" w:rsidR="00C77FA1" w:rsidRPr="006C7E3D" w:rsidRDefault="00C77FA1" w:rsidP="006C7E3D">
            <w:pPr>
              <w:spacing w:line="276" w:lineRule="auto"/>
              <w:ind w:left="209"/>
              <w:jc w:val="both"/>
              <w:rPr>
                <w:rFonts w:ascii="Times New Roman" w:hAnsi="Times New Roman" w:cs="Times New Roman"/>
                <w:sz w:val="24"/>
                <w:szCs w:val="24"/>
              </w:rPr>
            </w:pPr>
            <w:r w:rsidRPr="006C7E3D">
              <w:rPr>
                <w:rFonts w:ascii="Times New Roman" w:hAnsi="Times New Roman" w:cs="Times New Roman"/>
                <w:sz w:val="24"/>
                <w:szCs w:val="24"/>
              </w:rPr>
              <w:t xml:space="preserve">23  </w:t>
            </w:r>
          </w:p>
        </w:tc>
        <w:tc>
          <w:tcPr>
            <w:tcW w:w="1037" w:type="dxa"/>
            <w:tcBorders>
              <w:top w:val="single" w:sz="4" w:space="0" w:color="000000"/>
              <w:left w:val="nil"/>
              <w:bottom w:val="nil"/>
              <w:right w:val="nil"/>
            </w:tcBorders>
          </w:tcPr>
          <w:p w14:paraId="1C4AF9BD" w14:textId="77777777" w:rsidR="00C77FA1" w:rsidRPr="006C7E3D" w:rsidRDefault="00C77FA1" w:rsidP="006C7E3D">
            <w:pPr>
              <w:spacing w:line="276" w:lineRule="auto"/>
              <w:jc w:val="both"/>
              <w:rPr>
                <w:rFonts w:ascii="Times New Roman" w:hAnsi="Times New Roman" w:cs="Times New Roman"/>
                <w:sz w:val="24"/>
                <w:szCs w:val="24"/>
              </w:rPr>
            </w:pPr>
            <w:r w:rsidRPr="006C7E3D">
              <w:rPr>
                <w:rFonts w:ascii="Times New Roman" w:hAnsi="Times New Roman" w:cs="Times New Roman"/>
                <w:sz w:val="24"/>
                <w:szCs w:val="24"/>
              </w:rPr>
              <w:t xml:space="preserve">10,55  </w:t>
            </w:r>
          </w:p>
        </w:tc>
      </w:tr>
      <w:tr w:rsidR="00C77FA1" w:rsidRPr="006C7E3D" w14:paraId="57056544" w14:textId="77777777">
        <w:trPr>
          <w:trHeight w:val="310"/>
        </w:trPr>
        <w:tc>
          <w:tcPr>
            <w:tcW w:w="1174" w:type="dxa"/>
            <w:tcBorders>
              <w:top w:val="nil"/>
              <w:left w:val="nil"/>
              <w:bottom w:val="nil"/>
              <w:right w:val="nil"/>
            </w:tcBorders>
          </w:tcPr>
          <w:p w14:paraId="6889D422" w14:textId="77777777" w:rsidR="00C77FA1" w:rsidRPr="006C7E3D" w:rsidRDefault="00C77FA1" w:rsidP="006C7E3D">
            <w:pPr>
              <w:spacing w:line="276" w:lineRule="auto"/>
              <w:ind w:left="216"/>
              <w:jc w:val="both"/>
              <w:rPr>
                <w:rFonts w:ascii="Times New Roman" w:hAnsi="Times New Roman" w:cs="Times New Roman"/>
                <w:sz w:val="24"/>
                <w:szCs w:val="24"/>
              </w:rPr>
            </w:pPr>
            <w:r w:rsidRPr="006C7E3D">
              <w:rPr>
                <w:rFonts w:ascii="Times New Roman" w:hAnsi="Times New Roman" w:cs="Times New Roman"/>
                <w:sz w:val="24"/>
                <w:szCs w:val="24"/>
              </w:rPr>
              <w:t xml:space="preserve">Puyer  </w:t>
            </w:r>
          </w:p>
        </w:tc>
        <w:tc>
          <w:tcPr>
            <w:tcW w:w="1493" w:type="dxa"/>
            <w:tcBorders>
              <w:top w:val="nil"/>
              <w:left w:val="nil"/>
              <w:bottom w:val="nil"/>
              <w:right w:val="nil"/>
            </w:tcBorders>
          </w:tcPr>
          <w:p w14:paraId="0A9C0ED8" w14:textId="77777777" w:rsidR="00C77FA1" w:rsidRPr="006C7E3D" w:rsidRDefault="00C77FA1" w:rsidP="006C7E3D">
            <w:pPr>
              <w:spacing w:line="276" w:lineRule="auto"/>
              <w:ind w:left="372"/>
              <w:jc w:val="both"/>
              <w:rPr>
                <w:rFonts w:ascii="Times New Roman" w:hAnsi="Times New Roman" w:cs="Times New Roman"/>
                <w:sz w:val="24"/>
                <w:szCs w:val="24"/>
              </w:rPr>
            </w:pPr>
            <w:r w:rsidRPr="006C7E3D">
              <w:rPr>
                <w:rFonts w:ascii="Times New Roman" w:hAnsi="Times New Roman" w:cs="Times New Roman"/>
                <w:sz w:val="24"/>
                <w:szCs w:val="24"/>
              </w:rPr>
              <w:t xml:space="preserve">3x1  </w:t>
            </w:r>
          </w:p>
        </w:tc>
        <w:tc>
          <w:tcPr>
            <w:tcW w:w="924" w:type="dxa"/>
            <w:tcBorders>
              <w:top w:val="nil"/>
              <w:left w:val="nil"/>
              <w:bottom w:val="nil"/>
              <w:right w:val="nil"/>
            </w:tcBorders>
          </w:tcPr>
          <w:p w14:paraId="1FF23CED" w14:textId="77777777" w:rsidR="00C77FA1" w:rsidRPr="006C7E3D" w:rsidRDefault="00C77FA1" w:rsidP="006C7E3D">
            <w:pPr>
              <w:spacing w:line="276" w:lineRule="auto"/>
              <w:ind w:left="154"/>
              <w:jc w:val="both"/>
              <w:rPr>
                <w:rFonts w:ascii="Times New Roman" w:hAnsi="Times New Roman" w:cs="Times New Roman"/>
                <w:sz w:val="24"/>
                <w:szCs w:val="24"/>
              </w:rPr>
            </w:pPr>
            <w:r w:rsidRPr="006C7E3D">
              <w:rPr>
                <w:rFonts w:ascii="Times New Roman" w:hAnsi="Times New Roman" w:cs="Times New Roman"/>
                <w:sz w:val="24"/>
                <w:szCs w:val="24"/>
              </w:rPr>
              <w:t xml:space="preserve">151  </w:t>
            </w:r>
          </w:p>
        </w:tc>
        <w:tc>
          <w:tcPr>
            <w:tcW w:w="1037" w:type="dxa"/>
            <w:tcBorders>
              <w:top w:val="nil"/>
              <w:left w:val="nil"/>
              <w:bottom w:val="nil"/>
              <w:right w:val="nil"/>
            </w:tcBorders>
          </w:tcPr>
          <w:p w14:paraId="2B181C60" w14:textId="77777777" w:rsidR="00C77FA1" w:rsidRPr="006C7E3D" w:rsidRDefault="00C77FA1" w:rsidP="006C7E3D">
            <w:pPr>
              <w:spacing w:line="276" w:lineRule="auto"/>
              <w:jc w:val="both"/>
              <w:rPr>
                <w:rFonts w:ascii="Times New Roman" w:hAnsi="Times New Roman" w:cs="Times New Roman"/>
                <w:sz w:val="24"/>
                <w:szCs w:val="24"/>
              </w:rPr>
            </w:pPr>
            <w:r w:rsidRPr="006C7E3D">
              <w:rPr>
                <w:rFonts w:ascii="Times New Roman" w:hAnsi="Times New Roman" w:cs="Times New Roman"/>
                <w:sz w:val="24"/>
                <w:szCs w:val="24"/>
              </w:rPr>
              <w:t xml:space="preserve">69,27  </w:t>
            </w:r>
          </w:p>
        </w:tc>
      </w:tr>
      <w:tr w:rsidR="00C77FA1" w:rsidRPr="006C7E3D" w14:paraId="074644BB" w14:textId="77777777">
        <w:trPr>
          <w:trHeight w:val="310"/>
        </w:trPr>
        <w:tc>
          <w:tcPr>
            <w:tcW w:w="1174" w:type="dxa"/>
            <w:tcBorders>
              <w:top w:val="nil"/>
              <w:left w:val="nil"/>
              <w:bottom w:val="nil"/>
              <w:right w:val="nil"/>
            </w:tcBorders>
          </w:tcPr>
          <w:p w14:paraId="050ACC1B" w14:textId="77777777" w:rsidR="00C77FA1" w:rsidRPr="006C7E3D" w:rsidRDefault="00C77FA1" w:rsidP="006C7E3D">
            <w:pPr>
              <w:spacing w:line="276" w:lineRule="auto"/>
              <w:ind w:left="233"/>
              <w:jc w:val="both"/>
              <w:rPr>
                <w:rFonts w:ascii="Times New Roman" w:hAnsi="Times New Roman" w:cs="Times New Roman"/>
                <w:sz w:val="24"/>
                <w:szCs w:val="24"/>
              </w:rPr>
            </w:pPr>
            <w:r w:rsidRPr="006C7E3D">
              <w:rPr>
                <w:rFonts w:ascii="Times New Roman" w:hAnsi="Times New Roman" w:cs="Times New Roman"/>
                <w:sz w:val="24"/>
                <w:szCs w:val="24"/>
              </w:rPr>
              <w:t xml:space="preserve">Sirup  </w:t>
            </w:r>
          </w:p>
        </w:tc>
        <w:tc>
          <w:tcPr>
            <w:tcW w:w="1493" w:type="dxa"/>
            <w:tcBorders>
              <w:top w:val="nil"/>
              <w:left w:val="nil"/>
              <w:bottom w:val="nil"/>
              <w:right w:val="nil"/>
            </w:tcBorders>
          </w:tcPr>
          <w:p w14:paraId="0A44D897" w14:textId="77777777" w:rsidR="00C77FA1" w:rsidRPr="006C7E3D" w:rsidRDefault="00C77FA1" w:rsidP="006C7E3D">
            <w:pPr>
              <w:spacing w:line="276" w:lineRule="auto"/>
              <w:ind w:left="286"/>
              <w:jc w:val="both"/>
              <w:rPr>
                <w:rFonts w:ascii="Times New Roman" w:hAnsi="Times New Roman" w:cs="Times New Roman"/>
                <w:sz w:val="24"/>
                <w:szCs w:val="24"/>
              </w:rPr>
            </w:pPr>
            <w:r w:rsidRPr="006C7E3D">
              <w:rPr>
                <w:rFonts w:ascii="Times New Roman" w:hAnsi="Times New Roman" w:cs="Times New Roman"/>
                <w:sz w:val="24"/>
                <w:szCs w:val="24"/>
              </w:rPr>
              <w:t xml:space="preserve">3x1/2  </w:t>
            </w:r>
          </w:p>
        </w:tc>
        <w:tc>
          <w:tcPr>
            <w:tcW w:w="924" w:type="dxa"/>
            <w:tcBorders>
              <w:top w:val="nil"/>
              <w:left w:val="nil"/>
              <w:bottom w:val="nil"/>
              <w:right w:val="nil"/>
            </w:tcBorders>
          </w:tcPr>
          <w:p w14:paraId="0E35D5DA" w14:textId="77777777" w:rsidR="00C77FA1" w:rsidRPr="006C7E3D" w:rsidRDefault="00C77FA1" w:rsidP="006C7E3D">
            <w:pPr>
              <w:spacing w:line="276" w:lineRule="auto"/>
              <w:ind w:left="209"/>
              <w:jc w:val="both"/>
              <w:rPr>
                <w:rFonts w:ascii="Times New Roman" w:hAnsi="Times New Roman" w:cs="Times New Roman"/>
                <w:sz w:val="24"/>
                <w:szCs w:val="24"/>
              </w:rPr>
            </w:pPr>
            <w:r w:rsidRPr="006C7E3D">
              <w:rPr>
                <w:rFonts w:ascii="Times New Roman" w:hAnsi="Times New Roman" w:cs="Times New Roman"/>
                <w:sz w:val="24"/>
                <w:szCs w:val="24"/>
              </w:rPr>
              <w:t xml:space="preserve">22  </w:t>
            </w:r>
          </w:p>
        </w:tc>
        <w:tc>
          <w:tcPr>
            <w:tcW w:w="1037" w:type="dxa"/>
            <w:tcBorders>
              <w:top w:val="nil"/>
              <w:left w:val="nil"/>
              <w:bottom w:val="nil"/>
              <w:right w:val="nil"/>
            </w:tcBorders>
          </w:tcPr>
          <w:p w14:paraId="4259BA20" w14:textId="77777777" w:rsidR="00C77FA1" w:rsidRPr="006C7E3D" w:rsidRDefault="00C77FA1" w:rsidP="006C7E3D">
            <w:pPr>
              <w:spacing w:line="276" w:lineRule="auto"/>
              <w:jc w:val="both"/>
              <w:rPr>
                <w:rFonts w:ascii="Times New Roman" w:hAnsi="Times New Roman" w:cs="Times New Roman"/>
                <w:sz w:val="24"/>
                <w:szCs w:val="24"/>
              </w:rPr>
            </w:pPr>
            <w:r w:rsidRPr="006C7E3D">
              <w:rPr>
                <w:rFonts w:ascii="Times New Roman" w:hAnsi="Times New Roman" w:cs="Times New Roman"/>
                <w:sz w:val="24"/>
                <w:szCs w:val="24"/>
              </w:rPr>
              <w:t xml:space="preserve">10,09  </w:t>
            </w:r>
          </w:p>
        </w:tc>
      </w:tr>
      <w:tr w:rsidR="00C77FA1" w:rsidRPr="006C7E3D" w14:paraId="22AEF49D" w14:textId="77777777">
        <w:trPr>
          <w:trHeight w:val="289"/>
        </w:trPr>
        <w:tc>
          <w:tcPr>
            <w:tcW w:w="1174" w:type="dxa"/>
            <w:tcBorders>
              <w:top w:val="nil"/>
              <w:left w:val="nil"/>
              <w:bottom w:val="single" w:sz="4" w:space="0" w:color="000000"/>
              <w:right w:val="nil"/>
            </w:tcBorders>
          </w:tcPr>
          <w:p w14:paraId="2DC76B03" w14:textId="77777777" w:rsidR="00C77FA1" w:rsidRPr="006C7E3D" w:rsidRDefault="00C77FA1" w:rsidP="006C7E3D">
            <w:pPr>
              <w:spacing w:line="276" w:lineRule="auto"/>
              <w:ind w:left="233"/>
              <w:jc w:val="both"/>
              <w:rPr>
                <w:rFonts w:ascii="Times New Roman" w:hAnsi="Times New Roman" w:cs="Times New Roman"/>
                <w:sz w:val="24"/>
                <w:szCs w:val="24"/>
              </w:rPr>
            </w:pPr>
            <w:r w:rsidRPr="006C7E3D">
              <w:rPr>
                <w:rFonts w:ascii="Times New Roman" w:hAnsi="Times New Roman" w:cs="Times New Roman"/>
                <w:sz w:val="24"/>
                <w:szCs w:val="24"/>
              </w:rPr>
              <w:t xml:space="preserve">Sirup  </w:t>
            </w:r>
          </w:p>
        </w:tc>
        <w:tc>
          <w:tcPr>
            <w:tcW w:w="1493" w:type="dxa"/>
            <w:tcBorders>
              <w:top w:val="nil"/>
              <w:left w:val="nil"/>
              <w:bottom w:val="single" w:sz="4" w:space="0" w:color="000000"/>
              <w:right w:val="nil"/>
            </w:tcBorders>
          </w:tcPr>
          <w:p w14:paraId="56612AF4" w14:textId="77777777" w:rsidR="00C77FA1" w:rsidRPr="006C7E3D" w:rsidRDefault="00C77FA1" w:rsidP="006C7E3D">
            <w:pPr>
              <w:spacing w:line="276" w:lineRule="auto"/>
              <w:ind w:left="372"/>
              <w:jc w:val="both"/>
              <w:rPr>
                <w:rFonts w:ascii="Times New Roman" w:hAnsi="Times New Roman" w:cs="Times New Roman"/>
                <w:sz w:val="24"/>
                <w:szCs w:val="24"/>
              </w:rPr>
            </w:pPr>
            <w:r w:rsidRPr="006C7E3D">
              <w:rPr>
                <w:rFonts w:ascii="Times New Roman" w:hAnsi="Times New Roman" w:cs="Times New Roman"/>
                <w:sz w:val="24"/>
                <w:szCs w:val="24"/>
              </w:rPr>
              <w:t xml:space="preserve">3x1  </w:t>
            </w:r>
          </w:p>
        </w:tc>
        <w:tc>
          <w:tcPr>
            <w:tcW w:w="924" w:type="dxa"/>
            <w:tcBorders>
              <w:top w:val="nil"/>
              <w:left w:val="nil"/>
              <w:bottom w:val="single" w:sz="4" w:space="0" w:color="000000"/>
              <w:right w:val="nil"/>
            </w:tcBorders>
          </w:tcPr>
          <w:p w14:paraId="68B9BCD0" w14:textId="77777777" w:rsidR="00C77FA1" w:rsidRPr="006C7E3D" w:rsidRDefault="00C77FA1" w:rsidP="006C7E3D">
            <w:pPr>
              <w:spacing w:line="276" w:lineRule="auto"/>
              <w:ind w:left="209"/>
              <w:jc w:val="both"/>
              <w:rPr>
                <w:rFonts w:ascii="Times New Roman" w:hAnsi="Times New Roman" w:cs="Times New Roman"/>
                <w:sz w:val="24"/>
                <w:szCs w:val="24"/>
              </w:rPr>
            </w:pPr>
            <w:r w:rsidRPr="006C7E3D">
              <w:rPr>
                <w:rFonts w:ascii="Times New Roman" w:hAnsi="Times New Roman" w:cs="Times New Roman"/>
                <w:sz w:val="24"/>
                <w:szCs w:val="24"/>
              </w:rPr>
              <w:t xml:space="preserve">22  </w:t>
            </w:r>
          </w:p>
        </w:tc>
        <w:tc>
          <w:tcPr>
            <w:tcW w:w="1037" w:type="dxa"/>
            <w:tcBorders>
              <w:top w:val="nil"/>
              <w:left w:val="nil"/>
              <w:bottom w:val="single" w:sz="4" w:space="0" w:color="000000"/>
              <w:right w:val="nil"/>
            </w:tcBorders>
          </w:tcPr>
          <w:p w14:paraId="388D602A" w14:textId="77777777" w:rsidR="00C77FA1" w:rsidRPr="006C7E3D" w:rsidRDefault="00C77FA1" w:rsidP="006C7E3D">
            <w:pPr>
              <w:spacing w:line="276" w:lineRule="auto"/>
              <w:jc w:val="both"/>
              <w:rPr>
                <w:rFonts w:ascii="Times New Roman" w:hAnsi="Times New Roman" w:cs="Times New Roman"/>
                <w:sz w:val="24"/>
                <w:szCs w:val="24"/>
              </w:rPr>
            </w:pPr>
            <w:r w:rsidRPr="006C7E3D">
              <w:rPr>
                <w:rFonts w:ascii="Times New Roman" w:hAnsi="Times New Roman" w:cs="Times New Roman"/>
                <w:sz w:val="24"/>
                <w:szCs w:val="24"/>
              </w:rPr>
              <w:t xml:space="preserve">10,09  </w:t>
            </w:r>
          </w:p>
        </w:tc>
      </w:tr>
      <w:tr w:rsidR="00C77FA1" w:rsidRPr="006C7E3D" w14:paraId="193E89BC" w14:textId="77777777">
        <w:trPr>
          <w:trHeight w:val="300"/>
        </w:trPr>
        <w:tc>
          <w:tcPr>
            <w:tcW w:w="1174" w:type="dxa"/>
            <w:tcBorders>
              <w:top w:val="single" w:sz="4" w:space="0" w:color="000000"/>
              <w:left w:val="nil"/>
              <w:bottom w:val="single" w:sz="4" w:space="0" w:color="000000"/>
              <w:right w:val="nil"/>
            </w:tcBorders>
          </w:tcPr>
          <w:p w14:paraId="2CEAFE35" w14:textId="77777777" w:rsidR="00C77FA1" w:rsidRPr="006C7E3D" w:rsidRDefault="00C77FA1" w:rsidP="006C7E3D">
            <w:pPr>
              <w:spacing w:line="276" w:lineRule="auto"/>
              <w:jc w:val="both"/>
              <w:rPr>
                <w:rFonts w:ascii="Times New Roman" w:hAnsi="Times New Roman" w:cs="Times New Roman"/>
                <w:sz w:val="24"/>
                <w:szCs w:val="24"/>
              </w:rPr>
            </w:pPr>
            <w:r w:rsidRPr="006C7E3D">
              <w:rPr>
                <w:rFonts w:ascii="Times New Roman" w:eastAsia="Times New Roman" w:hAnsi="Times New Roman" w:cs="Times New Roman"/>
                <w:b/>
                <w:sz w:val="24"/>
                <w:szCs w:val="24"/>
              </w:rPr>
              <w:t xml:space="preserve">Total  </w:t>
            </w:r>
            <w:r w:rsidRPr="006C7E3D">
              <w:rPr>
                <w:rFonts w:ascii="Times New Roman" w:eastAsia="Times New Roman" w:hAnsi="Times New Roman" w:cs="Times New Roman"/>
                <w:b/>
                <w:sz w:val="24"/>
                <w:szCs w:val="24"/>
              </w:rPr>
              <w:tab/>
            </w:r>
            <w:r w:rsidRPr="006C7E3D">
              <w:rPr>
                <w:rFonts w:ascii="Times New Roman" w:eastAsia="Calibri" w:hAnsi="Times New Roman" w:cs="Times New Roman"/>
                <w:sz w:val="24"/>
                <w:szCs w:val="24"/>
              </w:rPr>
              <w:t xml:space="preserve">  </w:t>
            </w:r>
          </w:p>
        </w:tc>
        <w:tc>
          <w:tcPr>
            <w:tcW w:w="1493" w:type="dxa"/>
            <w:tcBorders>
              <w:top w:val="single" w:sz="4" w:space="0" w:color="000000"/>
              <w:left w:val="nil"/>
              <w:bottom w:val="single" w:sz="4" w:space="0" w:color="000000"/>
              <w:right w:val="nil"/>
            </w:tcBorders>
          </w:tcPr>
          <w:p w14:paraId="4E27028E" w14:textId="77777777" w:rsidR="00C77FA1" w:rsidRPr="006C7E3D" w:rsidRDefault="00C77FA1" w:rsidP="006C7E3D">
            <w:pPr>
              <w:spacing w:line="276" w:lineRule="auto"/>
              <w:jc w:val="both"/>
              <w:rPr>
                <w:rFonts w:ascii="Times New Roman" w:hAnsi="Times New Roman" w:cs="Times New Roman"/>
                <w:sz w:val="24"/>
                <w:szCs w:val="24"/>
              </w:rPr>
            </w:pPr>
          </w:p>
        </w:tc>
        <w:tc>
          <w:tcPr>
            <w:tcW w:w="924" w:type="dxa"/>
            <w:tcBorders>
              <w:top w:val="single" w:sz="4" w:space="0" w:color="000000"/>
              <w:left w:val="nil"/>
              <w:bottom w:val="single" w:sz="4" w:space="0" w:color="000000"/>
              <w:right w:val="nil"/>
            </w:tcBorders>
          </w:tcPr>
          <w:p w14:paraId="4999F07B" w14:textId="77777777" w:rsidR="00C77FA1" w:rsidRPr="006C7E3D" w:rsidRDefault="00C77FA1" w:rsidP="006C7E3D">
            <w:pPr>
              <w:spacing w:line="276" w:lineRule="auto"/>
              <w:ind w:left="154"/>
              <w:jc w:val="both"/>
              <w:rPr>
                <w:rFonts w:ascii="Times New Roman" w:hAnsi="Times New Roman" w:cs="Times New Roman"/>
                <w:sz w:val="24"/>
                <w:szCs w:val="24"/>
              </w:rPr>
            </w:pPr>
            <w:r w:rsidRPr="006C7E3D">
              <w:rPr>
                <w:rFonts w:ascii="Times New Roman" w:hAnsi="Times New Roman" w:cs="Times New Roman"/>
                <w:sz w:val="24"/>
                <w:szCs w:val="24"/>
              </w:rPr>
              <w:t xml:space="preserve">218  </w:t>
            </w:r>
          </w:p>
        </w:tc>
        <w:tc>
          <w:tcPr>
            <w:tcW w:w="1037" w:type="dxa"/>
            <w:tcBorders>
              <w:top w:val="single" w:sz="4" w:space="0" w:color="000000"/>
              <w:left w:val="nil"/>
              <w:bottom w:val="single" w:sz="4" w:space="0" w:color="000000"/>
              <w:right w:val="nil"/>
            </w:tcBorders>
          </w:tcPr>
          <w:p w14:paraId="31AB71EE" w14:textId="77777777" w:rsidR="00C77FA1" w:rsidRPr="006C7E3D" w:rsidRDefault="00C77FA1" w:rsidP="006C7E3D">
            <w:pPr>
              <w:spacing w:line="276" w:lineRule="auto"/>
              <w:jc w:val="both"/>
              <w:rPr>
                <w:rFonts w:ascii="Times New Roman" w:hAnsi="Times New Roman" w:cs="Times New Roman"/>
                <w:sz w:val="24"/>
                <w:szCs w:val="24"/>
              </w:rPr>
            </w:pPr>
            <w:r w:rsidRPr="006C7E3D">
              <w:rPr>
                <w:rFonts w:ascii="Times New Roman" w:hAnsi="Times New Roman" w:cs="Times New Roman"/>
                <w:sz w:val="24"/>
                <w:szCs w:val="24"/>
              </w:rPr>
              <w:t xml:space="preserve">100  </w:t>
            </w:r>
          </w:p>
        </w:tc>
      </w:tr>
    </w:tbl>
    <w:p w14:paraId="0F36B5B6" w14:textId="77777777" w:rsidR="00C77FA1" w:rsidRPr="006C7E3D" w:rsidRDefault="00C77FA1" w:rsidP="006C7E3D">
      <w:pPr>
        <w:spacing w:after="200"/>
        <w:ind w:firstLine="720"/>
        <w:jc w:val="both"/>
        <w:rPr>
          <w:rFonts w:cs="Times New Roman"/>
          <w:szCs w:val="24"/>
        </w:rPr>
      </w:pPr>
      <w:r w:rsidRPr="006C7E3D">
        <w:rPr>
          <w:rFonts w:cs="Times New Roman"/>
          <w:szCs w:val="24"/>
        </w:rPr>
        <w:t xml:space="preserve">Berdasarkan tabel 5 dapat diketahui bahwa frekuensi penggunaan obat yang banyak diberikan adalah bentuk sediaan puyer </w:t>
      </w:r>
      <w:r w:rsidRPr="006C7E3D">
        <w:rPr>
          <w:rFonts w:cs="Times New Roman"/>
          <w:szCs w:val="24"/>
        </w:rPr>
        <w:lastRenderedPageBreak/>
        <w:t xml:space="preserve">3 kali sehari sebanyak 151 (69,27%) hal ini disebabkan oleh banyaknya balita yang belum bisa menelan tablet sehingga dapat dibuatkan dalam bentuk puyer sebanyak 9 bungkus. Pada rekuensi 3x1/4 tablet sebanyak 23 pasien dengan persentase 10,55 %, sedangkan penggunaan dengan frekuensi 3x1/2 Cth dan 3x1 Cth memiliki nilai persentase yang sama yaitu 10,09%.  </w:t>
      </w:r>
    </w:p>
    <w:p w14:paraId="40E5B460" w14:textId="490B0B52" w:rsidR="00C77FA1" w:rsidRPr="005405A4" w:rsidRDefault="006C7E3D" w:rsidP="006C7E3D">
      <w:pPr>
        <w:spacing w:line="240" w:lineRule="auto"/>
        <w:jc w:val="both"/>
        <w:rPr>
          <w:rFonts w:cs="Times New Roman"/>
          <w:szCs w:val="24"/>
        </w:rPr>
      </w:pPr>
      <w:r w:rsidRPr="005405A4">
        <w:rPr>
          <w:rFonts w:eastAsia="Times New Roman" w:cs="Times New Roman"/>
          <w:b/>
          <w:szCs w:val="24"/>
        </w:rPr>
        <w:t>Kesimpulan</w:t>
      </w:r>
    </w:p>
    <w:p w14:paraId="5F485341" w14:textId="29E1003B" w:rsidR="00C77FA1" w:rsidRPr="006C7E3D" w:rsidRDefault="00C77FA1" w:rsidP="006C7E3D">
      <w:pPr>
        <w:spacing w:after="123"/>
        <w:ind w:firstLine="720"/>
        <w:jc w:val="both"/>
        <w:rPr>
          <w:rFonts w:cs="Times New Roman"/>
          <w:szCs w:val="24"/>
        </w:rPr>
      </w:pPr>
      <w:r w:rsidRPr="006C7E3D">
        <w:rPr>
          <w:rFonts w:cs="Times New Roman"/>
          <w:szCs w:val="24"/>
        </w:rPr>
        <w:t xml:space="preserve">Berdasarkan hasil penelitian tentang pola penggunaan obat pada pasien ISPA non pneumonia di puskesmas tlanakan dapat ditarik kesimpulan bahwa karakteristik ISPA non pneumonia berdasarkan jenis obat ISPA non pneumonia yang banyak digunakan di Puskesmas Tlanakan adalah 3 kombinasi obat yaitu obat Paracetamol, CTM dan Ambroxol sebanyak 44 pasien (20,18%) ; Paracetamol, Vit C dan Guafenesin sebanyak 26 pasien (11,92%) ; Paracetamol, Salbutamol dan Ambroxol sebanyak 21 pasien (9,36%) ; Paracetamol, CTM dan Guaifenesin sebanayak 19 pasien (8,71%) dan Amoxisillin,Vit C dan Guaifenesin sebanyak 6 pasien (2,75%), bentuk sediaan yang banyak digunakan adalah sediaan puyer dengan frekuensi 3 kali sehari sebanyak 151 pasien (69,27%). </w:t>
      </w:r>
    </w:p>
    <w:p w14:paraId="74AEDCCC" w14:textId="37D2AFC6" w:rsidR="00C77FA1" w:rsidRDefault="00C77FA1" w:rsidP="006C7E3D">
      <w:pPr>
        <w:spacing w:line="240" w:lineRule="auto"/>
        <w:jc w:val="both"/>
        <w:rPr>
          <w:rFonts w:eastAsia="Times New Roman" w:cs="Times New Roman"/>
          <w:b/>
          <w:szCs w:val="24"/>
        </w:rPr>
      </w:pPr>
      <w:r w:rsidRPr="006C7E3D">
        <w:rPr>
          <w:rFonts w:eastAsia="Times New Roman" w:cs="Times New Roman"/>
          <w:b/>
          <w:szCs w:val="24"/>
        </w:rPr>
        <w:t xml:space="preserve"> </w:t>
      </w:r>
    </w:p>
    <w:p w14:paraId="28AE1EB1" w14:textId="5BB2BCDA" w:rsidR="006C7E3D" w:rsidRPr="006C7E3D" w:rsidRDefault="006C7E3D" w:rsidP="006C7E3D">
      <w:pPr>
        <w:spacing w:line="240" w:lineRule="auto"/>
        <w:jc w:val="both"/>
        <w:rPr>
          <w:rFonts w:cs="Times New Roman"/>
          <w:szCs w:val="24"/>
          <w:lang w:val="en-US"/>
        </w:rPr>
      </w:pPr>
      <w:proofErr w:type="spellStart"/>
      <w:r>
        <w:rPr>
          <w:rFonts w:eastAsia="Times New Roman" w:cs="Times New Roman"/>
          <w:b/>
          <w:szCs w:val="24"/>
          <w:lang w:val="en-US"/>
        </w:rPr>
        <w:t>Daftar</w:t>
      </w:r>
      <w:proofErr w:type="spellEnd"/>
      <w:r>
        <w:rPr>
          <w:rFonts w:eastAsia="Times New Roman" w:cs="Times New Roman"/>
          <w:b/>
          <w:szCs w:val="24"/>
          <w:lang w:val="en-US"/>
        </w:rPr>
        <w:t xml:space="preserve"> </w:t>
      </w:r>
      <w:proofErr w:type="spellStart"/>
      <w:r>
        <w:rPr>
          <w:rFonts w:eastAsia="Times New Roman" w:cs="Times New Roman"/>
          <w:b/>
          <w:szCs w:val="24"/>
          <w:lang w:val="en-US"/>
        </w:rPr>
        <w:t>Pustaka</w:t>
      </w:r>
      <w:proofErr w:type="spellEnd"/>
    </w:p>
    <w:p w14:paraId="43BB55EF" w14:textId="77777777" w:rsidR="00C77FA1" w:rsidRPr="006C7E3D" w:rsidRDefault="00C77FA1" w:rsidP="006C7E3D">
      <w:pPr>
        <w:numPr>
          <w:ilvl w:val="0"/>
          <w:numId w:val="1"/>
        </w:numPr>
        <w:spacing w:after="14" w:line="236" w:lineRule="auto"/>
        <w:ind w:hanging="641"/>
        <w:jc w:val="both"/>
        <w:rPr>
          <w:rFonts w:cs="Times New Roman"/>
          <w:szCs w:val="24"/>
        </w:rPr>
      </w:pPr>
      <w:r w:rsidRPr="006C7E3D">
        <w:rPr>
          <w:rFonts w:cs="Times New Roman"/>
          <w:szCs w:val="24"/>
        </w:rPr>
        <w:t xml:space="preserve">D. Syahrir, “Hubungan BBLR, Kebiasaan Merokok Keluarga, dan Status Gizi dengan Riwayat </w:t>
      </w:r>
      <w:r w:rsidRPr="006C7E3D">
        <w:rPr>
          <w:rFonts w:cs="Times New Roman"/>
          <w:szCs w:val="24"/>
        </w:rPr>
        <w:tab/>
        <w:t xml:space="preserve">ISPA </w:t>
      </w:r>
      <w:r w:rsidRPr="006C7E3D">
        <w:rPr>
          <w:rFonts w:cs="Times New Roman"/>
          <w:szCs w:val="24"/>
        </w:rPr>
        <w:tab/>
        <w:t xml:space="preserve">Bayi </w:t>
      </w:r>
      <w:r w:rsidRPr="006C7E3D">
        <w:rPr>
          <w:rFonts w:cs="Times New Roman"/>
          <w:szCs w:val="24"/>
        </w:rPr>
        <w:tab/>
        <w:t xml:space="preserve">di </w:t>
      </w:r>
      <w:r w:rsidRPr="006C7E3D">
        <w:rPr>
          <w:rFonts w:cs="Times New Roman"/>
          <w:szCs w:val="24"/>
        </w:rPr>
        <w:tab/>
        <w:t xml:space="preserve">Kelurahan Ballaparang,” </w:t>
      </w:r>
      <w:r w:rsidRPr="006C7E3D">
        <w:rPr>
          <w:rFonts w:eastAsia="Times New Roman" w:cs="Times New Roman"/>
          <w:i/>
          <w:szCs w:val="24"/>
        </w:rPr>
        <w:t xml:space="preserve">Al GIZZAI PUBLIC Heal. </w:t>
      </w:r>
    </w:p>
    <w:p w14:paraId="04DC799C" w14:textId="77777777" w:rsidR="00C77FA1" w:rsidRPr="006C7E3D" w:rsidRDefault="00C77FA1" w:rsidP="006C7E3D">
      <w:pPr>
        <w:ind w:left="641"/>
        <w:jc w:val="both"/>
        <w:rPr>
          <w:rFonts w:cs="Times New Roman"/>
          <w:szCs w:val="24"/>
        </w:rPr>
      </w:pPr>
      <w:r w:rsidRPr="006C7E3D">
        <w:rPr>
          <w:rFonts w:eastAsia="Times New Roman" w:cs="Times New Roman"/>
          <w:i/>
          <w:szCs w:val="24"/>
        </w:rPr>
        <w:t>Nutr. J.</w:t>
      </w:r>
      <w:r w:rsidRPr="006C7E3D">
        <w:rPr>
          <w:rFonts w:cs="Times New Roman"/>
          <w:szCs w:val="24"/>
        </w:rPr>
        <w:t xml:space="preserve">, vol. 1, no. 1, pp. 27–35, 2021, doi: 10.24252/algizzai.v1i1.19080. </w:t>
      </w:r>
    </w:p>
    <w:p w14:paraId="1932099A" w14:textId="77777777" w:rsidR="00C77FA1" w:rsidRPr="006C7E3D" w:rsidRDefault="00C77FA1" w:rsidP="006C7E3D">
      <w:pPr>
        <w:numPr>
          <w:ilvl w:val="0"/>
          <w:numId w:val="1"/>
        </w:numPr>
        <w:spacing w:after="0" w:line="236" w:lineRule="auto"/>
        <w:ind w:hanging="641"/>
        <w:jc w:val="both"/>
        <w:rPr>
          <w:rFonts w:cs="Times New Roman"/>
          <w:szCs w:val="24"/>
        </w:rPr>
      </w:pPr>
      <w:r w:rsidRPr="006C7E3D">
        <w:rPr>
          <w:rFonts w:cs="Times New Roman"/>
          <w:szCs w:val="24"/>
        </w:rPr>
        <w:t xml:space="preserve">A. Febrianti, “Pengetahuan, Sikap Dan Pendidikan Ibu Dengan Kejadian Ispa Pada </w:t>
      </w:r>
    </w:p>
    <w:p w14:paraId="2FA707B4" w14:textId="77777777" w:rsidR="00C77FA1" w:rsidRPr="006C7E3D" w:rsidRDefault="00C77FA1" w:rsidP="006C7E3D">
      <w:pPr>
        <w:ind w:left="641"/>
        <w:jc w:val="both"/>
        <w:rPr>
          <w:rFonts w:cs="Times New Roman"/>
          <w:szCs w:val="24"/>
        </w:rPr>
      </w:pPr>
      <w:r w:rsidRPr="006C7E3D">
        <w:rPr>
          <w:rFonts w:cs="Times New Roman"/>
          <w:szCs w:val="24"/>
        </w:rPr>
        <w:t xml:space="preserve">Balita Di Puskesmas 7 Ulu Kota Palembang,” </w:t>
      </w:r>
      <w:r w:rsidRPr="006C7E3D">
        <w:rPr>
          <w:rFonts w:eastAsia="Times New Roman" w:cs="Times New Roman"/>
          <w:i/>
          <w:szCs w:val="24"/>
        </w:rPr>
        <w:t xml:space="preserve">J. Kesehat. Saelmakers </w:t>
      </w:r>
    </w:p>
    <w:p w14:paraId="35DF450E" w14:textId="77777777" w:rsidR="00C77FA1" w:rsidRPr="006C7E3D" w:rsidRDefault="00C77FA1" w:rsidP="006C7E3D">
      <w:pPr>
        <w:ind w:left="641"/>
        <w:jc w:val="both"/>
        <w:rPr>
          <w:rFonts w:cs="Times New Roman"/>
          <w:szCs w:val="24"/>
        </w:rPr>
      </w:pPr>
      <w:r w:rsidRPr="006C7E3D">
        <w:rPr>
          <w:rFonts w:eastAsia="Times New Roman" w:cs="Times New Roman"/>
          <w:i/>
          <w:szCs w:val="24"/>
        </w:rPr>
        <w:lastRenderedPageBreak/>
        <w:t>Perdana</w:t>
      </w:r>
      <w:r w:rsidRPr="006C7E3D">
        <w:rPr>
          <w:rFonts w:cs="Times New Roman"/>
          <w:szCs w:val="24"/>
        </w:rPr>
        <w:t xml:space="preserve">, vol. 3, no. 1, pp. 133–139, 2020. </w:t>
      </w:r>
    </w:p>
    <w:p w14:paraId="5168FA8F" w14:textId="77777777" w:rsidR="00C77FA1" w:rsidRPr="006C7E3D" w:rsidRDefault="00C77FA1" w:rsidP="006C7E3D">
      <w:pPr>
        <w:numPr>
          <w:ilvl w:val="0"/>
          <w:numId w:val="1"/>
        </w:numPr>
        <w:spacing w:after="0" w:line="234" w:lineRule="auto"/>
        <w:ind w:hanging="641"/>
        <w:jc w:val="both"/>
        <w:rPr>
          <w:rFonts w:cs="Times New Roman"/>
          <w:szCs w:val="24"/>
        </w:rPr>
      </w:pPr>
      <w:r w:rsidRPr="006C7E3D">
        <w:rPr>
          <w:rFonts w:cs="Times New Roman"/>
          <w:szCs w:val="24"/>
        </w:rPr>
        <w:t xml:space="preserve">R. Kemenkes, </w:t>
      </w:r>
      <w:r w:rsidRPr="006C7E3D">
        <w:rPr>
          <w:rFonts w:eastAsia="Times New Roman" w:cs="Times New Roman"/>
          <w:i/>
          <w:szCs w:val="24"/>
        </w:rPr>
        <w:t>Profil kesehatan indonesia</w:t>
      </w:r>
      <w:r w:rsidRPr="006C7E3D">
        <w:rPr>
          <w:rFonts w:cs="Times New Roman"/>
          <w:szCs w:val="24"/>
        </w:rPr>
        <w:t xml:space="preserve">. 2021. </w:t>
      </w:r>
    </w:p>
    <w:p w14:paraId="43611CEF" w14:textId="77777777" w:rsidR="00C77FA1" w:rsidRPr="006C7E3D" w:rsidRDefault="00C77FA1" w:rsidP="006C7E3D">
      <w:pPr>
        <w:numPr>
          <w:ilvl w:val="0"/>
          <w:numId w:val="1"/>
        </w:numPr>
        <w:spacing w:after="0" w:line="236" w:lineRule="auto"/>
        <w:ind w:hanging="641"/>
        <w:jc w:val="both"/>
        <w:rPr>
          <w:rFonts w:cs="Times New Roman"/>
          <w:szCs w:val="24"/>
        </w:rPr>
      </w:pPr>
      <w:r w:rsidRPr="006C7E3D">
        <w:rPr>
          <w:rFonts w:cs="Times New Roman"/>
          <w:szCs w:val="24"/>
        </w:rPr>
        <w:t xml:space="preserve">S. Syarifuddin, N., &amp; Natsir, “Profil Penggunaan Obat pada Pasien Penderita Infeksi Saluran Pernafasan Akut (ISPA) Di Puskesmas Empagae Kabupaten Sidenreng Rappang. Jurnal Ilmiah Kesehatan IQRA, 7(2), 58–63,” 2019. </w:t>
      </w:r>
    </w:p>
    <w:p w14:paraId="7F9FE69F" w14:textId="77777777" w:rsidR="00C77FA1" w:rsidRPr="006C7E3D" w:rsidRDefault="00C77FA1" w:rsidP="006C7E3D">
      <w:pPr>
        <w:numPr>
          <w:ilvl w:val="0"/>
          <w:numId w:val="1"/>
        </w:numPr>
        <w:spacing w:after="14" w:line="236" w:lineRule="auto"/>
        <w:ind w:hanging="641"/>
        <w:jc w:val="both"/>
        <w:rPr>
          <w:rFonts w:cs="Times New Roman"/>
          <w:szCs w:val="24"/>
        </w:rPr>
      </w:pPr>
      <w:r w:rsidRPr="006C7E3D">
        <w:rPr>
          <w:rFonts w:cs="Times New Roman"/>
          <w:szCs w:val="24"/>
        </w:rPr>
        <w:t xml:space="preserve">S. Hersoni, “Pengaruh Pemberian Air Susu Ibu (Asi) Ekslusif Terhadap Kejadian Infeksi Saluran Pernafasan Akut (Ispa) Pada Bayi Usia 6-12 Bulan Di Rab Rsu Dr. </w:t>
      </w:r>
    </w:p>
    <w:p w14:paraId="345F4DE2" w14:textId="77777777" w:rsidR="00C77FA1" w:rsidRPr="006C7E3D" w:rsidRDefault="00C77FA1" w:rsidP="006C7E3D">
      <w:pPr>
        <w:ind w:left="641"/>
        <w:jc w:val="both"/>
        <w:rPr>
          <w:rFonts w:cs="Times New Roman"/>
          <w:szCs w:val="24"/>
        </w:rPr>
      </w:pPr>
      <w:r w:rsidRPr="006C7E3D">
        <w:rPr>
          <w:rFonts w:cs="Times New Roman"/>
          <w:szCs w:val="24"/>
        </w:rPr>
        <w:t xml:space="preserve">Soekarjdo Kota Tasikmalaya,” </w:t>
      </w:r>
      <w:r w:rsidRPr="006C7E3D">
        <w:rPr>
          <w:rFonts w:eastAsia="Times New Roman" w:cs="Times New Roman"/>
          <w:i/>
          <w:szCs w:val="24"/>
        </w:rPr>
        <w:t>J. Kesehat. Bakti Tunas Husada J. Ilmu-ilmu Keperawatan, Anal. Kesehat. dan Farm.</w:t>
      </w:r>
      <w:r w:rsidRPr="006C7E3D">
        <w:rPr>
          <w:rFonts w:cs="Times New Roman"/>
          <w:szCs w:val="24"/>
        </w:rPr>
        <w:t xml:space="preserve">, vol. 19, no. 1, pp. 56–64, 2019, doi: 10.36465/jkbth.v19i1.450. </w:t>
      </w:r>
    </w:p>
    <w:p w14:paraId="473BB523" w14:textId="77777777" w:rsidR="00C77FA1" w:rsidRPr="006C7E3D" w:rsidRDefault="00C77FA1" w:rsidP="006C7E3D">
      <w:pPr>
        <w:numPr>
          <w:ilvl w:val="0"/>
          <w:numId w:val="1"/>
        </w:numPr>
        <w:spacing w:after="14" w:line="236" w:lineRule="auto"/>
        <w:ind w:hanging="641"/>
        <w:jc w:val="both"/>
        <w:rPr>
          <w:rFonts w:cs="Times New Roman"/>
          <w:szCs w:val="24"/>
        </w:rPr>
      </w:pPr>
      <w:r w:rsidRPr="006C7E3D">
        <w:rPr>
          <w:rFonts w:cs="Times New Roman"/>
          <w:szCs w:val="24"/>
        </w:rPr>
        <w:t xml:space="preserve">Lia Khaerunnisa, “Gambaran Pemberian Antibiotik Amoxicillin Pada Pasien Anak Infeksi </w:t>
      </w:r>
      <w:r w:rsidRPr="006C7E3D">
        <w:rPr>
          <w:rFonts w:cs="Times New Roman"/>
          <w:szCs w:val="24"/>
        </w:rPr>
        <w:tab/>
        <w:t xml:space="preserve">Saluran </w:t>
      </w:r>
      <w:r w:rsidRPr="006C7E3D">
        <w:rPr>
          <w:rFonts w:cs="Times New Roman"/>
          <w:szCs w:val="24"/>
        </w:rPr>
        <w:tab/>
        <w:t xml:space="preserve">Pernafasan </w:t>
      </w:r>
      <w:r w:rsidRPr="006C7E3D">
        <w:rPr>
          <w:rFonts w:cs="Times New Roman"/>
          <w:szCs w:val="24"/>
        </w:rPr>
        <w:tab/>
        <w:t xml:space="preserve">(Ispa) </w:t>
      </w:r>
      <w:r w:rsidRPr="006C7E3D">
        <w:rPr>
          <w:rFonts w:cs="Times New Roman"/>
          <w:szCs w:val="24"/>
        </w:rPr>
        <w:tab/>
        <w:t xml:space="preserve">Di Puskesmas Margadana Tegal,” 2020. </w:t>
      </w:r>
    </w:p>
    <w:p w14:paraId="58A0D7FB" w14:textId="77777777" w:rsidR="00C77FA1" w:rsidRPr="006C7E3D" w:rsidRDefault="00C77FA1" w:rsidP="006C7E3D">
      <w:pPr>
        <w:numPr>
          <w:ilvl w:val="0"/>
          <w:numId w:val="1"/>
        </w:numPr>
        <w:spacing w:after="0" w:line="236" w:lineRule="auto"/>
        <w:ind w:hanging="641"/>
        <w:jc w:val="both"/>
        <w:rPr>
          <w:rFonts w:cs="Times New Roman"/>
          <w:szCs w:val="24"/>
        </w:rPr>
      </w:pPr>
      <w:r w:rsidRPr="006C7E3D">
        <w:rPr>
          <w:rFonts w:cs="Times New Roman"/>
          <w:szCs w:val="24"/>
        </w:rPr>
        <w:t xml:space="preserve">I. Puspitaningrum, L. Kusmita, and W. Setyani, “Efek Analgetik Antipiretik Ekstrak Etanol Kulit Buah Manggis ( Garcinia mangostana l .) pada Tikus Putih Jantan,” pp. 18–24. </w:t>
      </w:r>
    </w:p>
    <w:p w14:paraId="2D8A90FA" w14:textId="77777777" w:rsidR="00C77FA1" w:rsidRPr="006C7E3D" w:rsidRDefault="00C77FA1" w:rsidP="006C7E3D">
      <w:pPr>
        <w:numPr>
          <w:ilvl w:val="0"/>
          <w:numId w:val="1"/>
        </w:numPr>
        <w:spacing w:after="14" w:line="236" w:lineRule="auto"/>
        <w:ind w:hanging="641"/>
        <w:jc w:val="both"/>
        <w:rPr>
          <w:rFonts w:cs="Times New Roman"/>
          <w:szCs w:val="24"/>
        </w:rPr>
      </w:pPr>
      <w:r w:rsidRPr="006C7E3D">
        <w:rPr>
          <w:rFonts w:cs="Times New Roman"/>
          <w:szCs w:val="24"/>
        </w:rPr>
        <w:t xml:space="preserve">Y. Istihanah, R. I. Pratiwi, and A. A. Barlian, </w:t>
      </w:r>
      <w:r w:rsidRPr="006C7E3D">
        <w:rPr>
          <w:rFonts w:cs="Times New Roman"/>
          <w:szCs w:val="24"/>
        </w:rPr>
        <w:tab/>
        <w:t xml:space="preserve">“Gambaran </w:t>
      </w:r>
      <w:r w:rsidRPr="006C7E3D">
        <w:rPr>
          <w:rFonts w:cs="Times New Roman"/>
          <w:szCs w:val="24"/>
        </w:rPr>
        <w:tab/>
        <w:t xml:space="preserve">Peresepan </w:t>
      </w:r>
      <w:r w:rsidRPr="006C7E3D">
        <w:rPr>
          <w:rFonts w:cs="Times New Roman"/>
          <w:szCs w:val="24"/>
        </w:rPr>
        <w:tab/>
        <w:t xml:space="preserve">Obat Antihistamin </w:t>
      </w:r>
      <w:r w:rsidRPr="006C7E3D">
        <w:rPr>
          <w:rFonts w:cs="Times New Roman"/>
          <w:szCs w:val="24"/>
        </w:rPr>
        <w:tab/>
        <w:t xml:space="preserve">Di </w:t>
      </w:r>
      <w:r w:rsidRPr="006C7E3D">
        <w:rPr>
          <w:rFonts w:cs="Times New Roman"/>
          <w:szCs w:val="24"/>
        </w:rPr>
        <w:tab/>
        <w:t xml:space="preserve">Puskesmas </w:t>
      </w:r>
      <w:r w:rsidRPr="006C7E3D">
        <w:rPr>
          <w:rFonts w:cs="Times New Roman"/>
          <w:szCs w:val="24"/>
        </w:rPr>
        <w:tab/>
        <w:t xml:space="preserve">Tarub Kabupaten Tegal,” </w:t>
      </w:r>
      <w:r w:rsidRPr="006C7E3D">
        <w:rPr>
          <w:rFonts w:eastAsia="Times New Roman" w:cs="Times New Roman"/>
          <w:i/>
          <w:szCs w:val="24"/>
        </w:rPr>
        <w:t>J. Ilm. Farm.</w:t>
      </w:r>
      <w:r w:rsidRPr="006C7E3D">
        <w:rPr>
          <w:rFonts w:cs="Times New Roman"/>
          <w:szCs w:val="24"/>
        </w:rPr>
        <w:t xml:space="preserve">, vol. x, no. </w:t>
      </w:r>
    </w:p>
    <w:p w14:paraId="37E883AA" w14:textId="77777777" w:rsidR="00C77FA1" w:rsidRPr="006C7E3D" w:rsidRDefault="00C77FA1" w:rsidP="006C7E3D">
      <w:pPr>
        <w:ind w:left="641"/>
        <w:jc w:val="both"/>
        <w:rPr>
          <w:rFonts w:cs="Times New Roman"/>
          <w:szCs w:val="24"/>
        </w:rPr>
      </w:pPr>
      <w:r w:rsidRPr="006C7E3D">
        <w:rPr>
          <w:rFonts w:cs="Times New Roman"/>
          <w:szCs w:val="24"/>
        </w:rPr>
        <w:t xml:space="preserve">x, pp. 1–7, 2021. </w:t>
      </w:r>
    </w:p>
    <w:p w14:paraId="6E0FD71D" w14:textId="77777777" w:rsidR="00C77FA1" w:rsidRPr="006C7E3D" w:rsidRDefault="00C77FA1" w:rsidP="006C7E3D">
      <w:pPr>
        <w:numPr>
          <w:ilvl w:val="0"/>
          <w:numId w:val="1"/>
        </w:numPr>
        <w:spacing w:after="0" w:line="236" w:lineRule="auto"/>
        <w:ind w:hanging="641"/>
        <w:jc w:val="both"/>
        <w:rPr>
          <w:rFonts w:cs="Times New Roman"/>
          <w:szCs w:val="24"/>
        </w:rPr>
      </w:pPr>
      <w:r w:rsidRPr="006C7E3D">
        <w:rPr>
          <w:rFonts w:cs="Times New Roman"/>
          <w:szCs w:val="24"/>
        </w:rPr>
        <w:t xml:space="preserve">H. Syahputra, N. F. Sabrian, and W. Utomo, “Perbandingan Kejadian Ispa Balita Pada Keluarga Yang Merokok Di Dalam Rumah Dengan Keluarga Yang Tidak Merokok,” </w:t>
      </w:r>
      <w:r w:rsidRPr="006C7E3D">
        <w:rPr>
          <w:rFonts w:eastAsia="Times New Roman" w:cs="Times New Roman"/>
          <w:i/>
          <w:szCs w:val="24"/>
        </w:rPr>
        <w:t>J. Keperawatan Komunitas</w:t>
      </w:r>
      <w:r w:rsidRPr="006C7E3D">
        <w:rPr>
          <w:rFonts w:cs="Times New Roman"/>
          <w:szCs w:val="24"/>
        </w:rPr>
        <w:t xml:space="preserve">, vol. 2, no. 1, pp. 7–14, 2014, [Online]. </w:t>
      </w:r>
    </w:p>
    <w:p w14:paraId="70BC62E0" w14:textId="77777777" w:rsidR="00C77FA1" w:rsidRPr="006C7E3D" w:rsidRDefault="00C77FA1" w:rsidP="006C7E3D">
      <w:pPr>
        <w:spacing w:after="14"/>
        <w:ind w:left="641" w:right="-15"/>
        <w:jc w:val="both"/>
        <w:rPr>
          <w:rFonts w:cs="Times New Roman"/>
          <w:szCs w:val="24"/>
        </w:rPr>
      </w:pPr>
      <w:r w:rsidRPr="006C7E3D">
        <w:rPr>
          <w:rFonts w:cs="Times New Roman"/>
          <w:szCs w:val="24"/>
        </w:rPr>
        <w:t xml:space="preserve">Available: https://jurnal.unimus.ac.id/index.php/JKK/a rticle/view/4048 </w:t>
      </w:r>
    </w:p>
    <w:p w14:paraId="062A2896" w14:textId="77777777" w:rsidR="00C77FA1" w:rsidRPr="006C7E3D" w:rsidRDefault="00C77FA1" w:rsidP="006C7E3D">
      <w:pPr>
        <w:numPr>
          <w:ilvl w:val="0"/>
          <w:numId w:val="1"/>
        </w:numPr>
        <w:spacing w:after="0" w:line="236" w:lineRule="auto"/>
        <w:ind w:hanging="641"/>
        <w:jc w:val="both"/>
        <w:rPr>
          <w:rFonts w:cs="Times New Roman"/>
          <w:szCs w:val="24"/>
        </w:rPr>
      </w:pPr>
      <w:r w:rsidRPr="006C7E3D">
        <w:rPr>
          <w:rFonts w:cs="Times New Roman"/>
          <w:szCs w:val="24"/>
        </w:rPr>
        <w:lastRenderedPageBreak/>
        <w:t xml:space="preserve">E. Gunawan, R. Rusnaeni, and S. D. Febrianty, “Profil Penggunaan Antibiotik pada Balita Penderita ISPA di Puskesmas Koya Barat Periode Januari-Desember 2020,” </w:t>
      </w:r>
      <w:r w:rsidRPr="006C7E3D">
        <w:rPr>
          <w:rFonts w:eastAsia="Times New Roman" w:cs="Times New Roman"/>
          <w:i/>
          <w:szCs w:val="24"/>
        </w:rPr>
        <w:t>JFIOnline | Print ISSN 1412-1107 | e-ISSN 2355-696X</w:t>
      </w:r>
      <w:r w:rsidRPr="006C7E3D">
        <w:rPr>
          <w:rFonts w:cs="Times New Roman"/>
          <w:szCs w:val="24"/>
        </w:rPr>
        <w:t xml:space="preserve">, vol. 15, no. 1, pp. 86– 93, 2023, doi: 10.35617/jfionline.v15i1.98. </w:t>
      </w:r>
    </w:p>
    <w:p w14:paraId="1A63A3B0" w14:textId="77777777" w:rsidR="00C77FA1" w:rsidRPr="006C7E3D" w:rsidRDefault="00C77FA1" w:rsidP="006C7E3D">
      <w:pPr>
        <w:numPr>
          <w:ilvl w:val="0"/>
          <w:numId w:val="1"/>
        </w:numPr>
        <w:spacing w:after="0" w:line="236" w:lineRule="auto"/>
        <w:ind w:hanging="641"/>
        <w:jc w:val="both"/>
        <w:rPr>
          <w:rFonts w:cs="Times New Roman"/>
          <w:szCs w:val="24"/>
        </w:rPr>
      </w:pPr>
      <w:r w:rsidRPr="006C7E3D">
        <w:rPr>
          <w:rFonts w:cs="Times New Roman"/>
          <w:szCs w:val="24"/>
        </w:rPr>
        <w:t xml:space="preserve">R. Septiana, R. S. Pambudi, and M. Susana, “Kesesuaian Pemilihan Obat ISPA pada Balita Di RSUD Kuala Kurun,” </w:t>
      </w:r>
      <w:r w:rsidRPr="006C7E3D">
        <w:rPr>
          <w:rFonts w:eastAsia="Times New Roman" w:cs="Times New Roman"/>
          <w:i/>
          <w:szCs w:val="24"/>
        </w:rPr>
        <w:t>J. Dunia Farm.</w:t>
      </w:r>
      <w:r w:rsidRPr="006C7E3D">
        <w:rPr>
          <w:rFonts w:cs="Times New Roman"/>
          <w:szCs w:val="24"/>
        </w:rPr>
        <w:t xml:space="preserve">, vol. 5, no. 2, pp. 54–62, 2021, doi: 10.33085/jdf.v5i2.4792. </w:t>
      </w:r>
    </w:p>
    <w:p w14:paraId="7B8B5C51" w14:textId="77777777" w:rsidR="00C77FA1" w:rsidRPr="006C7E3D" w:rsidRDefault="00C77FA1" w:rsidP="006C7E3D">
      <w:pPr>
        <w:numPr>
          <w:ilvl w:val="0"/>
          <w:numId w:val="1"/>
        </w:numPr>
        <w:spacing w:after="0" w:line="236" w:lineRule="auto"/>
        <w:ind w:hanging="641"/>
        <w:jc w:val="both"/>
        <w:rPr>
          <w:rFonts w:cs="Times New Roman"/>
          <w:szCs w:val="24"/>
        </w:rPr>
      </w:pPr>
      <w:r w:rsidRPr="006C7E3D">
        <w:rPr>
          <w:rFonts w:cs="Times New Roman"/>
          <w:szCs w:val="24"/>
        </w:rPr>
        <w:t xml:space="preserve">R. Gitawati, “Bahan Aktif Dalam </w:t>
      </w:r>
    </w:p>
    <w:p w14:paraId="2C619746" w14:textId="77777777" w:rsidR="00C77FA1" w:rsidRPr="006C7E3D" w:rsidRDefault="00C77FA1" w:rsidP="006C7E3D">
      <w:pPr>
        <w:ind w:left="641"/>
        <w:jc w:val="both"/>
        <w:rPr>
          <w:rFonts w:cs="Times New Roman"/>
          <w:szCs w:val="24"/>
        </w:rPr>
      </w:pPr>
      <w:r w:rsidRPr="006C7E3D">
        <w:rPr>
          <w:rFonts w:cs="Times New Roman"/>
          <w:szCs w:val="24"/>
        </w:rPr>
        <w:t xml:space="preserve">Kombinasi Obat Flu Dan Batuk-Pilek, Dan Pemilihan Obat Flu Yang Rasional,” </w:t>
      </w:r>
      <w:r w:rsidRPr="006C7E3D">
        <w:rPr>
          <w:rFonts w:eastAsia="Times New Roman" w:cs="Times New Roman"/>
          <w:i/>
          <w:szCs w:val="24"/>
        </w:rPr>
        <w:t>Media Penelit. dan Pengemb. Kesehat.</w:t>
      </w:r>
      <w:r w:rsidRPr="006C7E3D">
        <w:rPr>
          <w:rFonts w:cs="Times New Roman"/>
          <w:szCs w:val="24"/>
        </w:rPr>
        <w:t xml:space="preserve">, vol. 24, no. 1, pp. 10–18, 2014, doi: </w:t>
      </w:r>
    </w:p>
    <w:p w14:paraId="36F5180B" w14:textId="77777777" w:rsidR="00C77FA1" w:rsidRPr="006C7E3D" w:rsidRDefault="00C77FA1" w:rsidP="006C7E3D">
      <w:pPr>
        <w:ind w:left="641"/>
        <w:jc w:val="both"/>
        <w:rPr>
          <w:rFonts w:cs="Times New Roman"/>
          <w:szCs w:val="24"/>
        </w:rPr>
      </w:pPr>
      <w:r w:rsidRPr="006C7E3D">
        <w:rPr>
          <w:rFonts w:cs="Times New Roman"/>
          <w:szCs w:val="24"/>
        </w:rPr>
        <w:t xml:space="preserve">10.22435/mpk.v24i1.3482.10-18. </w:t>
      </w:r>
    </w:p>
    <w:p w14:paraId="73A84000" w14:textId="77777777" w:rsidR="00C77FA1" w:rsidRPr="006C7E3D" w:rsidRDefault="00C77FA1" w:rsidP="006C7E3D">
      <w:pPr>
        <w:spacing w:line="240" w:lineRule="auto"/>
        <w:jc w:val="both"/>
        <w:rPr>
          <w:rFonts w:cs="Times New Roman"/>
          <w:szCs w:val="24"/>
        </w:rPr>
      </w:pPr>
      <w:r w:rsidRPr="006C7E3D">
        <w:rPr>
          <w:rFonts w:eastAsia="Times New Roman" w:cs="Times New Roman"/>
          <w:b/>
          <w:szCs w:val="24"/>
        </w:rPr>
        <w:t xml:space="preserve"> </w:t>
      </w:r>
    </w:p>
    <w:p w14:paraId="71A31B84" w14:textId="448D2E12" w:rsidR="00CC238B" w:rsidRDefault="00C77FA1" w:rsidP="006C7E3D">
      <w:pPr>
        <w:spacing w:after="8646" w:line="240" w:lineRule="auto"/>
      </w:pPr>
      <w:r>
        <w:t xml:space="preserve"> </w:t>
      </w:r>
    </w:p>
    <w:sectPr w:rsidR="00CC238B" w:rsidSect="006C7E3D">
      <w:type w:val="continuous"/>
      <w:pgSz w:w="11909" w:h="16834"/>
      <w:pgMar w:top="1421" w:right="1075" w:bottom="723" w:left="1419" w:header="720" w:footer="720" w:gutter="0"/>
      <w:cols w:num="2" w:space="5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E2DE1A" w14:textId="77777777" w:rsidR="003F6A60" w:rsidRDefault="003F6A60">
      <w:pPr>
        <w:spacing w:after="0" w:line="240" w:lineRule="auto"/>
      </w:pPr>
      <w:r>
        <w:separator/>
      </w:r>
    </w:p>
  </w:endnote>
  <w:endnote w:type="continuationSeparator" w:id="0">
    <w:p w14:paraId="5634AE38" w14:textId="77777777" w:rsidR="003F6A60" w:rsidRDefault="003F6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5EF6D" w14:textId="77777777" w:rsidR="00451402" w:rsidRDefault="00C77FA1">
    <w:pPr>
      <w:spacing w:line="240" w:lineRule="auto"/>
      <w:ind w:right="5"/>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0E7F073C" w14:textId="77777777" w:rsidR="00451402" w:rsidRDefault="00C77FA1">
    <w:pPr>
      <w:spacing w:line="240" w:lineRule="auto"/>
      <w:jc w:val="righ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157741"/>
      <w:docPartObj>
        <w:docPartGallery w:val="Page Numbers (Bottom of Page)"/>
        <w:docPartUnique/>
      </w:docPartObj>
    </w:sdtPr>
    <w:sdtEndPr>
      <w:rPr>
        <w:noProof/>
      </w:rPr>
    </w:sdtEndPr>
    <w:sdtContent>
      <w:p w14:paraId="04E5BA60" w14:textId="2FDE0DC7" w:rsidR="00A00D51" w:rsidRDefault="00A00D51">
        <w:pPr>
          <w:pStyle w:val="Footer"/>
          <w:jc w:val="center"/>
        </w:pPr>
        <w:r>
          <w:fldChar w:fldCharType="begin"/>
        </w:r>
        <w:r>
          <w:instrText xml:space="preserve"> PAGE   \* MERGEFORMAT </w:instrText>
        </w:r>
        <w:r>
          <w:fldChar w:fldCharType="separate"/>
        </w:r>
        <w:r>
          <w:rPr>
            <w:noProof/>
          </w:rPr>
          <w:t>184</w:t>
        </w:r>
        <w:r>
          <w:rPr>
            <w:noProof/>
          </w:rPr>
          <w:fldChar w:fldCharType="end"/>
        </w:r>
      </w:p>
    </w:sdtContent>
  </w:sdt>
  <w:p w14:paraId="6DF3D4C3" w14:textId="122086F2" w:rsidR="00451402" w:rsidRDefault="003F6A60">
    <w:pPr>
      <w:spacing w:line="240" w:lineRule="auto"/>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C30C8" w14:textId="77777777" w:rsidR="00451402" w:rsidRDefault="00C77FA1">
    <w:pPr>
      <w:spacing w:line="240" w:lineRule="auto"/>
      <w:ind w:right="5"/>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11982EF1" w14:textId="77777777" w:rsidR="00451402" w:rsidRDefault="00C77FA1">
    <w:pPr>
      <w:spacing w:line="240" w:lineRule="auto"/>
      <w:jc w:val="right"/>
    </w:pP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F9020" w14:textId="77777777" w:rsidR="00451402" w:rsidRDefault="003F6A60">
    <w:pPr>
      <w:spacing w:line="276" w:lineRule="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675635"/>
      <w:docPartObj>
        <w:docPartGallery w:val="Page Numbers (Bottom of Page)"/>
        <w:docPartUnique/>
      </w:docPartObj>
    </w:sdtPr>
    <w:sdtEndPr>
      <w:rPr>
        <w:noProof/>
      </w:rPr>
    </w:sdtEndPr>
    <w:sdtContent>
      <w:p w14:paraId="49E7CC68" w14:textId="08FB8B08" w:rsidR="00A00D51" w:rsidRDefault="00A00D51" w:rsidP="00A00D51">
        <w:pPr>
          <w:pStyle w:val="Footer"/>
          <w:tabs>
            <w:tab w:val="clear" w:pos="4680"/>
          </w:tabs>
          <w:ind w:right="59"/>
          <w:jc w:val="center"/>
        </w:pPr>
        <w:r>
          <w:fldChar w:fldCharType="begin"/>
        </w:r>
        <w:r>
          <w:instrText xml:space="preserve"> PAGE   \* MERGEFORMAT </w:instrText>
        </w:r>
        <w:r>
          <w:fldChar w:fldCharType="separate"/>
        </w:r>
        <w:r>
          <w:rPr>
            <w:noProof/>
          </w:rPr>
          <w:t>186</w:t>
        </w:r>
        <w:r>
          <w:rPr>
            <w:noProof/>
          </w:rPr>
          <w:fldChar w:fldCharType="end"/>
        </w:r>
      </w:p>
      <w:bookmarkStart w:id="0" w:name="_GoBack" w:displacedByCustomXml="next"/>
      <w:bookmarkEnd w:id="0" w:displacedByCustomXml="next"/>
    </w:sdtContent>
  </w:sdt>
  <w:p w14:paraId="75C81E12" w14:textId="77777777" w:rsidR="00451402" w:rsidRDefault="003F6A60">
    <w:pPr>
      <w:spacing w:line="276" w:lineRule="auto"/>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BCE68" w14:textId="77777777" w:rsidR="00451402" w:rsidRDefault="003F6A60">
    <w:pPr>
      <w:spacing w:line="276"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5A024" w14:textId="77777777" w:rsidR="003F6A60" w:rsidRDefault="003F6A60">
      <w:pPr>
        <w:spacing w:after="0" w:line="240" w:lineRule="auto"/>
      </w:pPr>
      <w:r>
        <w:separator/>
      </w:r>
    </w:p>
  </w:footnote>
  <w:footnote w:type="continuationSeparator" w:id="0">
    <w:p w14:paraId="7136239A" w14:textId="77777777" w:rsidR="003F6A60" w:rsidRDefault="003F6A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8DD9D" w14:textId="77777777" w:rsidR="00A00D51" w:rsidRDefault="00A00D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7DCBD" w14:textId="77777777" w:rsidR="00A00D51" w:rsidRDefault="00A00D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76C88" w14:textId="77777777" w:rsidR="00A00D51" w:rsidRDefault="00A00D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8C7CD9"/>
    <w:multiLevelType w:val="hybridMultilevel"/>
    <w:tmpl w:val="B0E0002C"/>
    <w:lvl w:ilvl="0" w:tplc="D004CD7A">
      <w:start w:val="1"/>
      <w:numFmt w:val="decimal"/>
      <w:lvlText w:val="[%1]"/>
      <w:lvlJc w:val="left"/>
      <w:pPr>
        <w:ind w:left="64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7964733E">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9DDEFF94">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6226E460">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CC5C904A">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0B10BA68">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BE2EA3F2">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1DEC5CA0">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E36C5022">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FA1"/>
    <w:rsid w:val="002C1179"/>
    <w:rsid w:val="003F2E4A"/>
    <w:rsid w:val="003F6A60"/>
    <w:rsid w:val="005147BA"/>
    <w:rsid w:val="005405A4"/>
    <w:rsid w:val="006C7E3D"/>
    <w:rsid w:val="009C0B1D"/>
    <w:rsid w:val="00A00D51"/>
    <w:rsid w:val="00C77FA1"/>
    <w:rsid w:val="00CC238B"/>
    <w:rsid w:val="00CF242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436B1"/>
  <w15:chartTrackingRefBased/>
  <w15:docId w15:val="{A5CA7F79-11F4-424F-9338-00470DF06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C77FA1"/>
    <w:pPr>
      <w:keepNext/>
      <w:keepLines/>
      <w:spacing w:after="0" w:line="236" w:lineRule="auto"/>
      <w:ind w:left="1145" w:right="-15" w:hanging="10"/>
      <w:jc w:val="center"/>
      <w:outlineLvl w:val="0"/>
    </w:pPr>
    <w:rPr>
      <w:rFonts w:eastAsia="Times New Roman" w:cs="Times New Roman"/>
      <w:b/>
      <w:i/>
      <w:color w:val="000000"/>
      <w:sz w:val="22"/>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FA1"/>
    <w:rPr>
      <w:rFonts w:eastAsia="Times New Roman" w:cs="Times New Roman"/>
      <w:b/>
      <w:i/>
      <w:color w:val="000000"/>
      <w:sz w:val="22"/>
      <w:lang w:eastAsia="id-ID"/>
    </w:rPr>
  </w:style>
  <w:style w:type="table" w:customStyle="1" w:styleId="TableGrid">
    <w:name w:val="TableGrid"/>
    <w:rsid w:val="00C77FA1"/>
    <w:pPr>
      <w:spacing w:after="0" w:line="240" w:lineRule="auto"/>
    </w:pPr>
    <w:rPr>
      <w:rFonts w:asciiTheme="minorHAnsi" w:eastAsiaTheme="minorEastAsia" w:hAnsiTheme="minorHAnsi"/>
      <w:sz w:val="22"/>
      <w:lang w:eastAsia="id-ID"/>
    </w:rPr>
    <w:tblPr>
      <w:tblCellMar>
        <w:top w:w="0" w:type="dxa"/>
        <w:left w:w="0" w:type="dxa"/>
        <w:bottom w:w="0" w:type="dxa"/>
        <w:right w:w="0" w:type="dxa"/>
      </w:tblCellMar>
    </w:tblPr>
  </w:style>
  <w:style w:type="paragraph" w:styleId="Header">
    <w:name w:val="header"/>
    <w:basedOn w:val="Normal"/>
    <w:link w:val="HeaderChar"/>
    <w:uiPriority w:val="99"/>
    <w:unhideWhenUsed/>
    <w:rsid w:val="00A00D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D51"/>
  </w:style>
  <w:style w:type="paragraph" w:styleId="Footer">
    <w:name w:val="footer"/>
    <w:basedOn w:val="Normal"/>
    <w:link w:val="FooterChar"/>
    <w:uiPriority w:val="99"/>
    <w:unhideWhenUsed/>
    <w:rsid w:val="00A00D51"/>
    <w:pPr>
      <w:tabs>
        <w:tab w:val="center" w:pos="4680"/>
        <w:tab w:val="right" w:pos="9360"/>
      </w:tabs>
      <w:spacing w:after="0" w:line="240" w:lineRule="auto"/>
    </w:pPr>
    <w:rPr>
      <w:rFonts w:asciiTheme="minorHAnsi" w:eastAsiaTheme="minorEastAsia" w:hAnsiTheme="minorHAnsi" w:cs="Times New Roman"/>
      <w:sz w:val="22"/>
      <w:lang w:val="en-US"/>
    </w:rPr>
  </w:style>
  <w:style w:type="character" w:customStyle="1" w:styleId="FooterChar">
    <w:name w:val="Footer Char"/>
    <w:basedOn w:val="DefaultParagraphFont"/>
    <w:link w:val="Footer"/>
    <w:uiPriority w:val="99"/>
    <w:rsid w:val="00A00D51"/>
    <w:rPr>
      <w:rFonts w:asciiTheme="minorHAnsi" w:eastAsiaTheme="minorEastAsia" w:hAnsiTheme="minorHAnsi"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3220</Words>
  <Characters>18354</Characters>
  <Application>Microsoft Office Word</Application>
  <DocSecurity>0</DocSecurity>
  <Lines>152</Lines>
  <Paragraphs>43</Paragraphs>
  <ScaleCrop>false</ScaleCrop>
  <Company/>
  <LinksUpToDate>false</LinksUpToDate>
  <CharactersWithSpaces>21531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cp:revision>
  <dcterms:created xsi:type="dcterms:W3CDTF">2023-08-21T04:02:00Z</dcterms:created>
  <dcterms:modified xsi:type="dcterms:W3CDTF">2024-01-17T04:51:00Z</dcterms:modified>
</cp:coreProperties>
</file>